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5AF2" w14:textId="12838E8B" w:rsidR="0050415A" w:rsidRDefault="0000182F" w:rsidP="00C663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001E58" wp14:editId="212D356B">
            <wp:simplePos x="0" y="0"/>
            <wp:positionH relativeFrom="column">
              <wp:posOffset>3175</wp:posOffset>
            </wp:positionH>
            <wp:positionV relativeFrom="paragraph">
              <wp:posOffset>-565150</wp:posOffset>
            </wp:positionV>
            <wp:extent cx="236728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x_theshow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41"/>
                    <a:stretch/>
                  </pic:blipFill>
                  <pic:spPr bwMode="auto">
                    <a:xfrm>
                      <a:off x="0" y="0"/>
                      <a:ext cx="236728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E55A08" w14:textId="77777777" w:rsidR="0000182F" w:rsidRDefault="0000182F" w:rsidP="00C66389">
      <w:pPr>
        <w:rPr>
          <w:noProof/>
        </w:rPr>
      </w:pPr>
    </w:p>
    <w:p w14:paraId="3EBB9E27" w14:textId="77777777" w:rsidR="0000182F" w:rsidRDefault="0000182F" w:rsidP="00C66389">
      <w:pPr>
        <w:rPr>
          <w:noProof/>
        </w:rPr>
      </w:pPr>
    </w:p>
    <w:p w14:paraId="3EAF0F51" w14:textId="77777777" w:rsidR="0000182F" w:rsidRDefault="0000182F" w:rsidP="00C66389">
      <w:pPr>
        <w:rPr>
          <w:noProof/>
        </w:rPr>
      </w:pPr>
    </w:p>
    <w:p w14:paraId="13F4E548" w14:textId="067D865D" w:rsidR="007B7EAC" w:rsidRPr="00C3534A" w:rsidRDefault="007B7EAC" w:rsidP="005B6F78">
      <w:pPr>
        <w:spacing w:line="300" w:lineRule="exact"/>
        <w:jc w:val="both"/>
        <w:rPr>
          <w:b/>
          <w:i/>
          <w:noProof/>
        </w:rPr>
      </w:pPr>
      <w:r>
        <w:rPr>
          <w:b/>
          <w:i/>
          <w:noProof/>
        </w:rPr>
        <w:t xml:space="preserve">New </w:t>
      </w:r>
      <w:r w:rsidR="0000182F" w:rsidRPr="00C3534A">
        <w:rPr>
          <w:b/>
          <w:i/>
          <w:noProof/>
        </w:rPr>
        <w:t xml:space="preserve">DEQX PreMate at </w:t>
      </w:r>
      <w:r w:rsidR="00171FB5">
        <w:rPr>
          <w:b/>
          <w:i/>
          <w:noProof/>
        </w:rPr>
        <w:t xml:space="preserve">the Audio &amp; AV Show </w:t>
      </w:r>
      <w:r w:rsidR="00E451EA">
        <w:rPr>
          <w:b/>
          <w:i/>
          <w:noProof/>
        </w:rPr>
        <w:t xml:space="preserve">Melbourne </w:t>
      </w:r>
      <w:r>
        <w:rPr>
          <w:b/>
          <w:i/>
          <w:noProof/>
        </w:rPr>
        <w:t xml:space="preserve">Room </w:t>
      </w:r>
      <w:r w:rsidR="003E0ACD">
        <w:rPr>
          <w:b/>
          <w:i/>
          <w:noProof/>
        </w:rPr>
        <w:t>314</w:t>
      </w:r>
    </w:p>
    <w:p w14:paraId="35057B71" w14:textId="77777777" w:rsidR="002701EB" w:rsidRDefault="002701EB" w:rsidP="00C3534A">
      <w:pPr>
        <w:spacing w:line="300" w:lineRule="exact"/>
        <w:jc w:val="both"/>
        <w:rPr>
          <w:noProof/>
          <w:sz w:val="22"/>
        </w:rPr>
      </w:pPr>
    </w:p>
    <w:p w14:paraId="50691150" w14:textId="038201E5" w:rsidR="00031B9F" w:rsidRDefault="00917B98" w:rsidP="00C3534A">
      <w:pPr>
        <w:spacing w:line="300" w:lineRule="exact"/>
        <w:jc w:val="both"/>
        <w:rPr>
          <w:sz w:val="22"/>
        </w:rPr>
      </w:pPr>
      <w:r>
        <w:rPr>
          <w:noProof/>
          <w:sz w:val="22"/>
        </w:rPr>
        <w:t xml:space="preserve">October </w:t>
      </w:r>
      <w:r w:rsidR="00171FB5">
        <w:rPr>
          <w:noProof/>
          <w:sz w:val="22"/>
        </w:rPr>
        <w:t>1</w:t>
      </w:r>
      <w:r w:rsidR="003E0ACD">
        <w:rPr>
          <w:noProof/>
          <w:sz w:val="22"/>
        </w:rPr>
        <w:t>8</w:t>
      </w:r>
      <w:r w:rsidR="00BB02DF" w:rsidRPr="00A534AE">
        <w:rPr>
          <w:noProof/>
          <w:sz w:val="22"/>
          <w:vertAlign w:val="superscript"/>
        </w:rPr>
        <w:t>th</w:t>
      </w:r>
      <w:r w:rsidR="00BB02DF">
        <w:rPr>
          <w:noProof/>
          <w:sz w:val="22"/>
        </w:rPr>
        <w:t xml:space="preserve">, </w:t>
      </w:r>
      <w:r w:rsidR="002701EB">
        <w:rPr>
          <w:noProof/>
          <w:sz w:val="22"/>
        </w:rPr>
        <w:t>2013</w:t>
      </w:r>
      <w:r w:rsidR="002701EB" w:rsidRPr="002701EB">
        <w:rPr>
          <w:noProof/>
          <w:sz w:val="22"/>
        </w:rPr>
        <w:t xml:space="preserve"> </w:t>
      </w:r>
      <w:r w:rsidR="002701EB" w:rsidRPr="002701EB">
        <w:rPr>
          <w:noProof/>
          <w:sz w:val="16"/>
        </w:rPr>
        <w:t>•</w:t>
      </w:r>
      <w:r w:rsidR="002701EB" w:rsidRPr="002701EB">
        <w:rPr>
          <w:noProof/>
          <w:sz w:val="22"/>
        </w:rPr>
        <w:t xml:space="preserve"> DEQX</w:t>
      </w:r>
      <w:r w:rsidR="00425DC4">
        <w:rPr>
          <w:noProof/>
          <w:sz w:val="22"/>
        </w:rPr>
        <w:t xml:space="preserve"> Pty Ltd</w:t>
      </w:r>
      <w:r w:rsidR="002701EB">
        <w:rPr>
          <w:noProof/>
          <w:sz w:val="22"/>
        </w:rPr>
        <w:t>,</w:t>
      </w:r>
      <w:r w:rsidR="002701EB" w:rsidRPr="002701EB">
        <w:rPr>
          <w:noProof/>
          <w:sz w:val="22"/>
        </w:rPr>
        <w:t xml:space="preserve"> manufacturers of leading-edge </w:t>
      </w:r>
      <w:r w:rsidR="00E451EA">
        <w:rPr>
          <w:noProof/>
          <w:sz w:val="22"/>
        </w:rPr>
        <w:t>p</w:t>
      </w:r>
      <w:r w:rsidR="002701EB" w:rsidRPr="002701EB">
        <w:rPr>
          <w:noProof/>
          <w:sz w:val="22"/>
        </w:rPr>
        <w:t xml:space="preserve">reamp </w:t>
      </w:r>
      <w:r w:rsidR="00E451EA">
        <w:rPr>
          <w:noProof/>
          <w:sz w:val="22"/>
        </w:rPr>
        <w:t>p</w:t>
      </w:r>
      <w:r w:rsidR="002701EB" w:rsidRPr="002701EB">
        <w:rPr>
          <w:noProof/>
          <w:sz w:val="22"/>
        </w:rPr>
        <w:t>rocessors providing speaker</w:t>
      </w:r>
      <w:r w:rsidR="002701EB">
        <w:rPr>
          <w:noProof/>
          <w:sz w:val="22"/>
        </w:rPr>
        <w:t xml:space="preserve"> calibration</w:t>
      </w:r>
      <w:r w:rsidR="002701EB" w:rsidRPr="002701EB">
        <w:rPr>
          <w:noProof/>
          <w:sz w:val="22"/>
        </w:rPr>
        <w:t xml:space="preserve">, crossover and room compensation </w:t>
      </w:r>
      <w:r w:rsidR="002701EB">
        <w:rPr>
          <w:noProof/>
          <w:sz w:val="22"/>
        </w:rPr>
        <w:t xml:space="preserve">will be </w:t>
      </w:r>
      <w:r>
        <w:rPr>
          <w:noProof/>
          <w:sz w:val="22"/>
        </w:rPr>
        <w:t xml:space="preserve">exhibiting at </w:t>
      </w:r>
      <w:r w:rsidR="00171FB5">
        <w:rPr>
          <w:noProof/>
          <w:sz w:val="22"/>
        </w:rPr>
        <w:t xml:space="preserve">the </w:t>
      </w:r>
      <w:hyperlink r:id="rId7" w:history="1">
        <w:r w:rsidR="00171FB5" w:rsidRPr="003E0ACD">
          <w:rPr>
            <w:rStyle w:val="Hyperlink"/>
            <w:noProof/>
            <w:sz w:val="22"/>
          </w:rPr>
          <w:t>Australian Audio &amp; AV Show</w:t>
        </w:r>
      </w:hyperlink>
      <w:r w:rsidR="00171FB5">
        <w:rPr>
          <w:noProof/>
          <w:sz w:val="22"/>
        </w:rPr>
        <w:t xml:space="preserve"> at the Intercontinental Melbourne, room 314</w:t>
      </w:r>
      <w:r>
        <w:rPr>
          <w:noProof/>
          <w:sz w:val="22"/>
        </w:rPr>
        <w:t xml:space="preserve">. </w:t>
      </w:r>
    </w:p>
    <w:p w14:paraId="219E506D" w14:textId="77777777" w:rsidR="00917B98" w:rsidRDefault="00917B98" w:rsidP="00C3534A">
      <w:pPr>
        <w:spacing w:line="300" w:lineRule="exact"/>
        <w:jc w:val="both"/>
        <w:rPr>
          <w:noProof/>
          <w:sz w:val="22"/>
        </w:rPr>
      </w:pPr>
    </w:p>
    <w:p w14:paraId="322A9517" w14:textId="03B66FB1" w:rsidR="00FC4368" w:rsidRPr="00FC4368" w:rsidRDefault="00FC4368" w:rsidP="00C3534A">
      <w:pPr>
        <w:spacing w:line="300" w:lineRule="exact"/>
        <w:jc w:val="both"/>
        <w:rPr>
          <w:b/>
          <w:i/>
          <w:noProof/>
          <w:sz w:val="22"/>
        </w:rPr>
      </w:pPr>
      <w:r>
        <w:rPr>
          <w:b/>
          <w:i/>
          <w:noProof/>
          <w:sz w:val="22"/>
        </w:rPr>
        <w:t xml:space="preserve">The DEQX </w:t>
      </w:r>
      <w:r w:rsidRPr="00FC4368">
        <w:rPr>
          <w:b/>
          <w:i/>
          <w:noProof/>
          <w:sz w:val="22"/>
        </w:rPr>
        <w:t>PreMate</w:t>
      </w:r>
    </w:p>
    <w:p w14:paraId="65884167" w14:textId="72D33592" w:rsidR="0000182F" w:rsidRPr="0000182F" w:rsidRDefault="0000182F" w:rsidP="00C3534A">
      <w:pPr>
        <w:spacing w:line="300" w:lineRule="exact"/>
        <w:jc w:val="both"/>
        <w:rPr>
          <w:noProof/>
          <w:sz w:val="22"/>
        </w:rPr>
      </w:pPr>
      <w:r w:rsidRPr="0000182F">
        <w:rPr>
          <w:noProof/>
          <w:sz w:val="22"/>
        </w:rPr>
        <w:t xml:space="preserve">As a full-function preamp processor the PreMate follows the Hippocratic Oath: </w:t>
      </w:r>
      <w:r w:rsidR="00425DC4">
        <w:rPr>
          <w:noProof/>
          <w:sz w:val="22"/>
        </w:rPr>
        <w:t>First d</w:t>
      </w:r>
      <w:r w:rsidRPr="0000182F">
        <w:rPr>
          <w:noProof/>
          <w:sz w:val="22"/>
        </w:rPr>
        <w:t xml:space="preserve">o no harm. The very notion of digital or analog sound doesn’t exist </w:t>
      </w:r>
      <w:r w:rsidR="00226CE2">
        <w:rPr>
          <w:noProof/>
          <w:sz w:val="22"/>
        </w:rPr>
        <w:t xml:space="preserve">for </w:t>
      </w:r>
      <w:r w:rsidRPr="0000182F">
        <w:rPr>
          <w:noProof/>
          <w:sz w:val="22"/>
        </w:rPr>
        <w:t>DEQX; we let the music</w:t>
      </w:r>
      <w:r w:rsidR="00226CE2">
        <w:rPr>
          <w:noProof/>
          <w:sz w:val="22"/>
        </w:rPr>
        <w:t xml:space="preserve"> </w:t>
      </w:r>
      <w:r w:rsidRPr="0000182F">
        <w:rPr>
          <w:noProof/>
          <w:sz w:val="22"/>
        </w:rPr>
        <w:t>speak for itself.</w:t>
      </w:r>
      <w:r w:rsidR="00E70929">
        <w:rPr>
          <w:noProof/>
          <w:sz w:val="22"/>
        </w:rPr>
        <w:t xml:space="preserve"> </w:t>
      </w:r>
      <w:r w:rsidR="0085189A">
        <w:rPr>
          <w:noProof/>
          <w:sz w:val="22"/>
        </w:rPr>
        <w:t xml:space="preserve">You’ll be </w:t>
      </w:r>
      <w:r w:rsidR="00500947">
        <w:rPr>
          <w:noProof/>
          <w:sz w:val="22"/>
        </w:rPr>
        <w:t xml:space="preserve">surprised </w:t>
      </w:r>
      <w:r w:rsidR="003E0ACD">
        <w:rPr>
          <w:noProof/>
          <w:sz w:val="22"/>
        </w:rPr>
        <w:t xml:space="preserve">by </w:t>
      </w:r>
      <w:r w:rsidR="00500947">
        <w:rPr>
          <w:noProof/>
          <w:sz w:val="22"/>
        </w:rPr>
        <w:t xml:space="preserve">what DEQX </w:t>
      </w:r>
      <w:r w:rsidR="00E451EA">
        <w:rPr>
          <w:noProof/>
          <w:sz w:val="22"/>
        </w:rPr>
        <w:t xml:space="preserve">can do </w:t>
      </w:r>
      <w:r w:rsidR="00500947">
        <w:rPr>
          <w:noProof/>
          <w:sz w:val="22"/>
        </w:rPr>
        <w:t xml:space="preserve">to </w:t>
      </w:r>
      <w:r w:rsidR="003E0ACD">
        <w:rPr>
          <w:noProof/>
          <w:sz w:val="22"/>
        </w:rPr>
        <w:t xml:space="preserve">a pair of Magneplanar 1.7s, and </w:t>
      </w:r>
      <w:r w:rsidR="00500947">
        <w:rPr>
          <w:noProof/>
          <w:sz w:val="22"/>
        </w:rPr>
        <w:t xml:space="preserve">gobsmacked as </w:t>
      </w:r>
      <w:r w:rsidR="00D816B8">
        <w:rPr>
          <w:noProof/>
          <w:sz w:val="22"/>
        </w:rPr>
        <w:t xml:space="preserve">DEQX </w:t>
      </w:r>
      <w:r w:rsidR="00500947">
        <w:rPr>
          <w:noProof/>
          <w:sz w:val="22"/>
        </w:rPr>
        <w:t>turns</w:t>
      </w:r>
      <w:r w:rsidR="00DB0EE9">
        <w:rPr>
          <w:noProof/>
          <w:sz w:val="22"/>
        </w:rPr>
        <w:t xml:space="preserve"> </w:t>
      </w:r>
      <w:r w:rsidR="00D816B8">
        <w:rPr>
          <w:noProof/>
          <w:sz w:val="22"/>
        </w:rPr>
        <w:t xml:space="preserve">a pair of plastic PA speakers </w:t>
      </w:r>
      <w:r w:rsidR="00DB0EE9">
        <w:rPr>
          <w:noProof/>
          <w:sz w:val="22"/>
        </w:rPr>
        <w:t xml:space="preserve">into decent performers. </w:t>
      </w:r>
    </w:p>
    <w:p w14:paraId="582E3B09" w14:textId="77777777" w:rsidR="0000182F" w:rsidRDefault="0000182F" w:rsidP="00C3534A">
      <w:pPr>
        <w:spacing w:line="300" w:lineRule="exact"/>
        <w:jc w:val="both"/>
        <w:rPr>
          <w:noProof/>
          <w:sz w:val="22"/>
        </w:rPr>
      </w:pPr>
    </w:p>
    <w:p w14:paraId="37420940" w14:textId="20879C66" w:rsidR="0000182F" w:rsidRPr="0000182F" w:rsidRDefault="0000182F" w:rsidP="00C3534A">
      <w:pPr>
        <w:spacing w:line="300" w:lineRule="exact"/>
        <w:jc w:val="both"/>
        <w:rPr>
          <w:noProof/>
          <w:sz w:val="22"/>
        </w:rPr>
      </w:pPr>
      <w:r w:rsidRPr="0000182F">
        <w:rPr>
          <w:noProof/>
          <w:sz w:val="22"/>
        </w:rPr>
        <w:t xml:space="preserve">The PreMate delivers the same comprehensive speaker and room calibration features as the DEQX Mate plus the preamp </w:t>
      </w:r>
      <w:r w:rsidR="00B01D79">
        <w:rPr>
          <w:noProof/>
          <w:sz w:val="22"/>
        </w:rPr>
        <w:t>functions</w:t>
      </w:r>
      <w:r w:rsidR="0085189A">
        <w:rPr>
          <w:noProof/>
          <w:sz w:val="22"/>
        </w:rPr>
        <w:t xml:space="preserve"> of the flagship HDP-4. </w:t>
      </w:r>
      <w:r w:rsidR="009951CA" w:rsidRPr="009951CA">
        <w:rPr>
          <w:noProof/>
          <w:sz w:val="22"/>
        </w:rPr>
        <w:t xml:space="preserve">DEQX Preamp/Processors calibrate your space by removing speaker distortion with </w:t>
      </w:r>
      <w:r w:rsidR="009951CA">
        <w:rPr>
          <w:noProof/>
          <w:sz w:val="22"/>
        </w:rPr>
        <w:t xml:space="preserve">subsequent </w:t>
      </w:r>
      <w:r w:rsidR="009951CA" w:rsidRPr="009951CA">
        <w:rPr>
          <w:noProof/>
          <w:sz w:val="22"/>
        </w:rPr>
        <w:t>room compensation.</w:t>
      </w:r>
      <w:r w:rsidR="009951CA">
        <w:rPr>
          <w:noProof/>
          <w:sz w:val="22"/>
        </w:rPr>
        <w:t xml:space="preserve"> </w:t>
      </w:r>
      <w:r w:rsidR="007611A8" w:rsidRPr="007611A8">
        <w:rPr>
          <w:noProof/>
          <w:sz w:val="22"/>
        </w:rPr>
        <w:t xml:space="preserve">The results are </w:t>
      </w:r>
      <w:r w:rsidR="00DB0EE9">
        <w:rPr>
          <w:noProof/>
          <w:sz w:val="22"/>
        </w:rPr>
        <w:t xml:space="preserve">always </w:t>
      </w:r>
      <w:r w:rsidR="007611A8" w:rsidRPr="007611A8">
        <w:rPr>
          <w:noProof/>
          <w:sz w:val="22"/>
        </w:rPr>
        <w:t>startling when timing, phase and amplitude accuracy are restored.</w:t>
      </w:r>
      <w:r w:rsidR="007611A8">
        <w:rPr>
          <w:noProof/>
          <w:sz w:val="22"/>
        </w:rPr>
        <w:t xml:space="preserve"> T</w:t>
      </w:r>
      <w:r w:rsidRPr="0000182F">
        <w:rPr>
          <w:noProof/>
          <w:sz w:val="22"/>
        </w:rPr>
        <w:t xml:space="preserve">he PreMate, like the </w:t>
      </w:r>
      <w:r w:rsidR="00B01D79">
        <w:rPr>
          <w:noProof/>
          <w:sz w:val="22"/>
        </w:rPr>
        <w:t xml:space="preserve">DEQX </w:t>
      </w:r>
      <w:r w:rsidRPr="0000182F">
        <w:rPr>
          <w:noProof/>
          <w:sz w:val="22"/>
        </w:rPr>
        <w:t xml:space="preserve">Mate, </w:t>
      </w:r>
      <w:r w:rsidR="00043777">
        <w:rPr>
          <w:noProof/>
          <w:sz w:val="22"/>
        </w:rPr>
        <w:t xml:space="preserve">works </w:t>
      </w:r>
      <w:r w:rsidRPr="0000182F">
        <w:rPr>
          <w:noProof/>
          <w:sz w:val="22"/>
        </w:rPr>
        <w:t xml:space="preserve">with speakers </w:t>
      </w:r>
      <w:r w:rsidR="00DB0EE9">
        <w:rPr>
          <w:noProof/>
          <w:sz w:val="22"/>
        </w:rPr>
        <w:t xml:space="preserve">and </w:t>
      </w:r>
      <w:r w:rsidRPr="0000182F">
        <w:rPr>
          <w:noProof/>
          <w:sz w:val="22"/>
        </w:rPr>
        <w:t>their built-in crossovers.</w:t>
      </w:r>
    </w:p>
    <w:p w14:paraId="009BA4E3" w14:textId="77777777" w:rsidR="0000182F" w:rsidRDefault="0000182F" w:rsidP="00C3534A">
      <w:pPr>
        <w:spacing w:line="300" w:lineRule="exact"/>
        <w:jc w:val="both"/>
        <w:rPr>
          <w:noProof/>
          <w:sz w:val="22"/>
        </w:rPr>
      </w:pPr>
    </w:p>
    <w:p w14:paraId="7B69A740" w14:textId="4D48347E" w:rsidR="0000182F" w:rsidRPr="0000182F" w:rsidRDefault="0000182F" w:rsidP="00C3534A">
      <w:pPr>
        <w:spacing w:line="300" w:lineRule="exact"/>
        <w:jc w:val="both"/>
        <w:rPr>
          <w:noProof/>
          <w:sz w:val="22"/>
        </w:rPr>
      </w:pPr>
      <w:r w:rsidRPr="0000182F">
        <w:rPr>
          <w:noProof/>
          <w:sz w:val="22"/>
        </w:rPr>
        <w:t xml:space="preserve">The PreMate’s preamp section includes four digital inputs – Toslink Optical, RCA Coax, BNC Coax, </w:t>
      </w:r>
      <w:r w:rsidR="007611A8">
        <w:rPr>
          <w:noProof/>
          <w:sz w:val="22"/>
        </w:rPr>
        <w:t>b</w:t>
      </w:r>
      <w:r w:rsidRPr="0000182F">
        <w:rPr>
          <w:noProof/>
          <w:sz w:val="22"/>
        </w:rPr>
        <w:t>alanced AES3 XLR</w:t>
      </w:r>
      <w:r w:rsidR="00500947">
        <w:rPr>
          <w:noProof/>
          <w:sz w:val="22"/>
        </w:rPr>
        <w:t>.</w:t>
      </w:r>
      <w:r w:rsidRPr="0000182F">
        <w:rPr>
          <w:noProof/>
          <w:sz w:val="22"/>
        </w:rPr>
        <w:t xml:space="preserve"> </w:t>
      </w:r>
      <w:r w:rsidR="00500947">
        <w:rPr>
          <w:noProof/>
          <w:sz w:val="22"/>
        </w:rPr>
        <w:t>A</w:t>
      </w:r>
      <w:r w:rsidRPr="0000182F">
        <w:rPr>
          <w:noProof/>
          <w:sz w:val="22"/>
        </w:rPr>
        <w:t xml:space="preserve">nd </w:t>
      </w:r>
      <w:r w:rsidR="00BB02DF">
        <w:rPr>
          <w:noProof/>
          <w:sz w:val="22"/>
        </w:rPr>
        <w:t xml:space="preserve">DEQX </w:t>
      </w:r>
      <w:r w:rsidR="00500947">
        <w:rPr>
          <w:noProof/>
          <w:sz w:val="22"/>
        </w:rPr>
        <w:t xml:space="preserve">is introducing </w:t>
      </w:r>
      <w:r w:rsidR="00626FDE">
        <w:rPr>
          <w:noProof/>
          <w:sz w:val="22"/>
        </w:rPr>
        <w:t xml:space="preserve">the </w:t>
      </w:r>
      <w:bookmarkStart w:id="0" w:name="_GoBack"/>
      <w:bookmarkEnd w:id="0"/>
      <w:r w:rsidRPr="0000182F">
        <w:rPr>
          <w:noProof/>
          <w:sz w:val="22"/>
        </w:rPr>
        <w:t xml:space="preserve">optional </w:t>
      </w:r>
      <w:r w:rsidR="00500947">
        <w:rPr>
          <w:noProof/>
          <w:sz w:val="22"/>
        </w:rPr>
        <w:t xml:space="preserve">I2S-Direct </w:t>
      </w:r>
      <w:r w:rsidRPr="0000182F">
        <w:rPr>
          <w:noProof/>
          <w:sz w:val="22"/>
        </w:rPr>
        <w:t>USB audio input</w:t>
      </w:r>
      <w:r w:rsidR="0085189A">
        <w:rPr>
          <w:noProof/>
          <w:sz w:val="22"/>
        </w:rPr>
        <w:t xml:space="preserve"> </w:t>
      </w:r>
      <w:r w:rsidR="00425DC4">
        <w:rPr>
          <w:noProof/>
          <w:sz w:val="22"/>
        </w:rPr>
        <w:t xml:space="preserve">that </w:t>
      </w:r>
      <w:r w:rsidR="0085189A">
        <w:rPr>
          <w:noProof/>
          <w:sz w:val="22"/>
        </w:rPr>
        <w:t>provid</w:t>
      </w:r>
      <w:r w:rsidR="00425DC4">
        <w:rPr>
          <w:noProof/>
          <w:sz w:val="22"/>
        </w:rPr>
        <w:t xml:space="preserve">es astonishing resolution by avoiding </w:t>
      </w:r>
      <w:r w:rsidR="00043777">
        <w:rPr>
          <w:noProof/>
          <w:sz w:val="22"/>
        </w:rPr>
        <w:t xml:space="preserve">the conversion </w:t>
      </w:r>
      <w:r w:rsidR="00425DC4">
        <w:rPr>
          <w:noProof/>
          <w:sz w:val="22"/>
        </w:rPr>
        <w:t>to and from S/PDIF or AES3</w:t>
      </w:r>
      <w:r w:rsidR="00BB02DF" w:rsidRPr="00BB02DF">
        <w:rPr>
          <w:noProof/>
          <w:sz w:val="22"/>
        </w:rPr>
        <w:t xml:space="preserve"> </w:t>
      </w:r>
      <w:r w:rsidR="00BB02DF">
        <w:rPr>
          <w:noProof/>
          <w:sz w:val="22"/>
        </w:rPr>
        <w:t>that compromises clocking</w:t>
      </w:r>
      <w:r w:rsidRPr="0000182F">
        <w:rPr>
          <w:noProof/>
          <w:sz w:val="22"/>
        </w:rPr>
        <w:t xml:space="preserve">. There are two analog inputs via RCA and </w:t>
      </w:r>
      <w:r w:rsidR="00B01D79">
        <w:rPr>
          <w:noProof/>
          <w:sz w:val="22"/>
        </w:rPr>
        <w:t>b</w:t>
      </w:r>
      <w:r w:rsidRPr="0000182F">
        <w:rPr>
          <w:noProof/>
          <w:sz w:val="22"/>
        </w:rPr>
        <w:t xml:space="preserve">alanced XLR. Outputs are RCA </w:t>
      </w:r>
      <w:r w:rsidR="00B01D79">
        <w:rPr>
          <w:noProof/>
          <w:sz w:val="22"/>
        </w:rPr>
        <w:t>u</w:t>
      </w:r>
      <w:r w:rsidRPr="0000182F">
        <w:rPr>
          <w:noProof/>
          <w:sz w:val="22"/>
        </w:rPr>
        <w:t xml:space="preserve">nbalanced and XLR </w:t>
      </w:r>
      <w:r w:rsidR="00B01D79">
        <w:rPr>
          <w:noProof/>
          <w:sz w:val="22"/>
        </w:rPr>
        <w:t>b</w:t>
      </w:r>
      <w:r w:rsidRPr="0000182F">
        <w:rPr>
          <w:noProof/>
          <w:sz w:val="22"/>
        </w:rPr>
        <w:t xml:space="preserve">alanced for both main speakers and subwoofers (or bi-amped speakers). The main speaker outputs are also available in digital form </w:t>
      </w:r>
      <w:r w:rsidR="00B01D79">
        <w:rPr>
          <w:noProof/>
          <w:sz w:val="22"/>
        </w:rPr>
        <w:t xml:space="preserve">to drive an </w:t>
      </w:r>
      <w:r w:rsidRPr="0000182F">
        <w:rPr>
          <w:noProof/>
          <w:sz w:val="22"/>
        </w:rPr>
        <w:t xml:space="preserve">external DAC.  </w:t>
      </w:r>
    </w:p>
    <w:p w14:paraId="6E11500F" w14:textId="77777777" w:rsidR="0000182F" w:rsidRDefault="0000182F" w:rsidP="00C3534A">
      <w:pPr>
        <w:spacing w:line="300" w:lineRule="exact"/>
        <w:jc w:val="both"/>
        <w:rPr>
          <w:noProof/>
          <w:sz w:val="22"/>
        </w:rPr>
      </w:pPr>
    </w:p>
    <w:p w14:paraId="1F423BA3" w14:textId="102BD796" w:rsidR="0000182F" w:rsidRPr="0000182F" w:rsidRDefault="0000182F" w:rsidP="00C3534A">
      <w:pPr>
        <w:spacing w:line="300" w:lineRule="exact"/>
        <w:jc w:val="both"/>
        <w:rPr>
          <w:noProof/>
          <w:sz w:val="22"/>
        </w:rPr>
      </w:pPr>
      <w:r w:rsidRPr="0000182F">
        <w:rPr>
          <w:noProof/>
          <w:sz w:val="22"/>
        </w:rPr>
        <w:t xml:space="preserve">The PreMate </w:t>
      </w:r>
      <w:r w:rsidR="00B01D79">
        <w:rPr>
          <w:noProof/>
          <w:sz w:val="22"/>
        </w:rPr>
        <w:t xml:space="preserve">features </w:t>
      </w:r>
      <w:r w:rsidRPr="0000182F">
        <w:rPr>
          <w:noProof/>
          <w:sz w:val="22"/>
        </w:rPr>
        <w:t xml:space="preserve">Cirrus Logic’s </w:t>
      </w:r>
      <w:r w:rsidR="009951CA">
        <w:rPr>
          <w:noProof/>
          <w:sz w:val="22"/>
        </w:rPr>
        <w:t>R</w:t>
      </w:r>
      <w:r w:rsidRPr="0000182F">
        <w:rPr>
          <w:noProof/>
          <w:sz w:val="22"/>
        </w:rPr>
        <w:t>eference-</w:t>
      </w:r>
      <w:r w:rsidR="009951CA">
        <w:rPr>
          <w:noProof/>
          <w:sz w:val="22"/>
        </w:rPr>
        <w:t>G</w:t>
      </w:r>
      <w:r w:rsidRPr="0000182F">
        <w:rPr>
          <w:noProof/>
          <w:sz w:val="22"/>
        </w:rPr>
        <w:t xml:space="preserve">rade Pro Audio ADC (Analog-to-Digital Converter) </w:t>
      </w:r>
      <w:r w:rsidR="00B01D79">
        <w:rPr>
          <w:noProof/>
          <w:sz w:val="22"/>
        </w:rPr>
        <w:t>for ultimate transparency</w:t>
      </w:r>
      <w:r w:rsidR="007611A8">
        <w:rPr>
          <w:noProof/>
          <w:sz w:val="22"/>
        </w:rPr>
        <w:t>,</w:t>
      </w:r>
      <w:r w:rsidR="00B01D79">
        <w:rPr>
          <w:noProof/>
          <w:sz w:val="22"/>
        </w:rPr>
        <w:t xml:space="preserve"> and t</w:t>
      </w:r>
      <w:r w:rsidRPr="0000182F">
        <w:rPr>
          <w:noProof/>
          <w:sz w:val="22"/>
        </w:rPr>
        <w:t>wo latest-generation 32-bit Burr Brown DACs (Digital-to-Analog Convert</w:t>
      </w:r>
      <w:r w:rsidR="009951CA">
        <w:rPr>
          <w:noProof/>
          <w:sz w:val="22"/>
        </w:rPr>
        <w:t>ers) combined with DEQX’s world-</w:t>
      </w:r>
      <w:r w:rsidRPr="0000182F">
        <w:rPr>
          <w:noProof/>
          <w:sz w:val="22"/>
        </w:rPr>
        <w:t>leading 32-bit floating-point DSP</w:t>
      </w:r>
      <w:r w:rsidR="003A3048">
        <w:rPr>
          <w:noProof/>
          <w:sz w:val="22"/>
        </w:rPr>
        <w:t xml:space="preserve"> calibration engine </w:t>
      </w:r>
      <w:r w:rsidR="00B01D79">
        <w:rPr>
          <w:noProof/>
          <w:sz w:val="22"/>
        </w:rPr>
        <w:t xml:space="preserve">that </w:t>
      </w:r>
      <w:r w:rsidR="003A3048">
        <w:rPr>
          <w:noProof/>
          <w:sz w:val="22"/>
        </w:rPr>
        <w:t>provides an</w:t>
      </w:r>
      <w:r w:rsidRPr="0000182F">
        <w:rPr>
          <w:noProof/>
          <w:sz w:val="22"/>
        </w:rPr>
        <w:t xml:space="preserve"> analog-like fluidity that’s turned </w:t>
      </w:r>
      <w:r w:rsidR="00B01D79">
        <w:rPr>
          <w:noProof/>
          <w:sz w:val="22"/>
        </w:rPr>
        <w:t xml:space="preserve">ADC </w:t>
      </w:r>
      <w:r w:rsidRPr="0000182F">
        <w:rPr>
          <w:noProof/>
          <w:sz w:val="22"/>
        </w:rPr>
        <w:t xml:space="preserve">skeptics into true believers.  </w:t>
      </w:r>
    </w:p>
    <w:p w14:paraId="2939471D" w14:textId="1166E719" w:rsidR="0000182F" w:rsidRDefault="0000182F" w:rsidP="00C3534A">
      <w:pPr>
        <w:spacing w:line="300" w:lineRule="exact"/>
        <w:jc w:val="both"/>
        <w:rPr>
          <w:noProof/>
          <w:sz w:val="22"/>
        </w:rPr>
      </w:pPr>
    </w:p>
    <w:p w14:paraId="2396A356" w14:textId="5B8C0449" w:rsidR="009951CA" w:rsidRDefault="00287A63" w:rsidP="00C3534A">
      <w:pPr>
        <w:spacing w:line="300" w:lineRule="exact"/>
        <w:jc w:val="both"/>
        <w:rPr>
          <w:noProof/>
          <w:sz w:val="22"/>
        </w:rPr>
      </w:pPr>
      <w:r>
        <w:rPr>
          <w:noProof/>
          <w:sz w:val="22"/>
        </w:rPr>
        <w:t>The PreMate carries an MSRP of $4,495</w:t>
      </w:r>
      <w:r w:rsidR="00500947">
        <w:rPr>
          <w:noProof/>
          <w:sz w:val="22"/>
        </w:rPr>
        <w:t>USD</w:t>
      </w:r>
      <w:r>
        <w:rPr>
          <w:noProof/>
          <w:sz w:val="22"/>
        </w:rPr>
        <w:t xml:space="preserve"> and the </w:t>
      </w:r>
      <w:r w:rsidR="00500947">
        <w:rPr>
          <w:noProof/>
          <w:sz w:val="22"/>
        </w:rPr>
        <w:t xml:space="preserve">I2S-Direct </w:t>
      </w:r>
      <w:r>
        <w:rPr>
          <w:noProof/>
          <w:sz w:val="22"/>
        </w:rPr>
        <w:t>USB input option another $495</w:t>
      </w:r>
      <w:r w:rsidR="00500947">
        <w:rPr>
          <w:noProof/>
          <w:sz w:val="22"/>
        </w:rPr>
        <w:t>USD</w:t>
      </w:r>
      <w:r>
        <w:rPr>
          <w:noProof/>
          <w:sz w:val="22"/>
        </w:rPr>
        <w:t xml:space="preserve">. </w:t>
      </w:r>
    </w:p>
    <w:p w14:paraId="597BD935" w14:textId="77777777" w:rsidR="009951CA" w:rsidRDefault="009951CA" w:rsidP="00C3534A">
      <w:pPr>
        <w:spacing w:line="300" w:lineRule="exact"/>
        <w:jc w:val="both"/>
        <w:rPr>
          <w:noProof/>
          <w:sz w:val="22"/>
        </w:rPr>
      </w:pPr>
    </w:p>
    <w:p w14:paraId="4C1D3BEC" w14:textId="1E68F365" w:rsidR="007B7EAC" w:rsidRPr="007611A8" w:rsidRDefault="007B7EAC" w:rsidP="007B7EAC">
      <w:pPr>
        <w:pStyle w:val="NoSpacing"/>
        <w:spacing w:line="300" w:lineRule="exact"/>
        <w:contextualSpacing/>
        <w:rPr>
          <w:rFonts w:ascii="Calibri" w:hAnsi="Calibri"/>
          <w:b/>
          <w:noProof/>
        </w:rPr>
      </w:pPr>
      <w:r w:rsidRPr="007611A8">
        <w:rPr>
          <w:rFonts w:ascii="Calibri" w:hAnsi="Calibri"/>
          <w:b/>
          <w:noProof/>
        </w:rPr>
        <w:t xml:space="preserve">VISIT DEQX at </w:t>
      </w:r>
      <w:hyperlink r:id="rId8" w:history="1">
        <w:r w:rsidR="00500947" w:rsidRPr="00500947">
          <w:rPr>
            <w:rStyle w:val="Hyperlink"/>
            <w:rFonts w:ascii="Calibri" w:hAnsi="Calibri"/>
            <w:b/>
            <w:noProof/>
          </w:rPr>
          <w:t>Audio &amp; AV Melbourne</w:t>
        </w:r>
      </w:hyperlink>
      <w:r w:rsidR="00091366" w:rsidRPr="007611A8">
        <w:rPr>
          <w:rFonts w:ascii="Calibri" w:hAnsi="Calibri"/>
          <w:b/>
          <w:noProof/>
        </w:rPr>
        <w:t xml:space="preserve"> in the </w:t>
      </w:r>
      <w:r w:rsidR="00500947">
        <w:rPr>
          <w:rFonts w:ascii="Calibri" w:hAnsi="Calibri"/>
          <w:b/>
          <w:noProof/>
        </w:rPr>
        <w:t>Intercontinental Hotel Room 314</w:t>
      </w:r>
    </w:p>
    <w:p w14:paraId="1890AB73" w14:textId="1F6FFCB5" w:rsidR="007B7EAC" w:rsidRPr="007B7EAC" w:rsidRDefault="007B7EAC" w:rsidP="007B7EAC">
      <w:pPr>
        <w:pStyle w:val="NoSpacing"/>
        <w:spacing w:line="300" w:lineRule="exact"/>
        <w:contextualSpacing/>
        <w:rPr>
          <w:rFonts w:ascii="Calibri" w:hAnsi="Calibri"/>
          <w:noProof/>
        </w:rPr>
      </w:pPr>
      <w:r w:rsidRPr="007B7EAC">
        <w:rPr>
          <w:rFonts w:ascii="Calibri" w:hAnsi="Calibri"/>
          <w:noProof/>
        </w:rPr>
        <w:t>Friday October 1</w:t>
      </w:r>
      <w:r w:rsidR="00500947">
        <w:rPr>
          <w:rFonts w:ascii="Calibri" w:hAnsi="Calibri"/>
          <w:noProof/>
        </w:rPr>
        <w:t>8</w:t>
      </w:r>
      <w:r w:rsidRPr="007B7EAC">
        <w:rPr>
          <w:rFonts w:ascii="Calibri" w:hAnsi="Calibri"/>
          <w:noProof/>
        </w:rPr>
        <w:t xml:space="preserve">th through Sunday October </w:t>
      </w:r>
      <w:r w:rsidR="0099421C">
        <w:rPr>
          <w:rFonts w:ascii="Calibri" w:hAnsi="Calibri"/>
          <w:noProof/>
        </w:rPr>
        <w:t>20</w:t>
      </w:r>
      <w:r w:rsidRPr="007B7EAC">
        <w:rPr>
          <w:rFonts w:ascii="Calibri" w:hAnsi="Calibri"/>
          <w:noProof/>
        </w:rPr>
        <w:t xml:space="preserve">th </w:t>
      </w:r>
    </w:p>
    <w:p w14:paraId="6433D7F2" w14:textId="77777777" w:rsidR="00DB0EE9" w:rsidRPr="007B7EAC" w:rsidRDefault="00DB0EE9" w:rsidP="00C3534A">
      <w:pPr>
        <w:spacing w:line="300" w:lineRule="exact"/>
        <w:rPr>
          <w:noProof/>
          <w:sz w:val="22"/>
        </w:rPr>
      </w:pPr>
    </w:p>
    <w:p w14:paraId="0069436E" w14:textId="0458CDB4" w:rsidR="00C3534A" w:rsidRDefault="00C3534A" w:rsidP="00C3534A">
      <w:pPr>
        <w:rPr>
          <w:rFonts w:cs="Calibri"/>
          <w:sz w:val="16"/>
        </w:rPr>
      </w:pPr>
      <w:r w:rsidRPr="0088342E">
        <w:rPr>
          <w:rFonts w:cs="Calibri"/>
          <w:sz w:val="22"/>
        </w:rPr>
        <w:t xml:space="preserve">DEQX </w:t>
      </w:r>
      <w:r w:rsidRPr="0088342E">
        <w:rPr>
          <w:rFonts w:cs="Calibri"/>
          <w:sz w:val="16"/>
        </w:rPr>
        <w:t>•</w:t>
      </w:r>
      <w:r w:rsidRPr="0088342E">
        <w:rPr>
          <w:rFonts w:cs="Calibri"/>
          <w:sz w:val="22"/>
        </w:rPr>
        <w:t xml:space="preserve"> Sydney NSW 2100 </w:t>
      </w:r>
      <w:r w:rsidRPr="0088342E">
        <w:rPr>
          <w:rFonts w:cs="Calibri"/>
          <w:sz w:val="16"/>
        </w:rPr>
        <w:t>•</w:t>
      </w:r>
      <w:r w:rsidRPr="0088342E">
        <w:rPr>
          <w:rFonts w:cs="Calibri"/>
          <w:sz w:val="22"/>
        </w:rPr>
        <w:t xml:space="preserve"> AUSTRALIA</w:t>
      </w:r>
      <w:r>
        <w:rPr>
          <w:rFonts w:cs="Calibri"/>
          <w:sz w:val="22"/>
        </w:rPr>
        <w:t xml:space="preserve"> </w:t>
      </w:r>
      <w:r w:rsidRPr="0088342E">
        <w:rPr>
          <w:rFonts w:cs="Calibri"/>
          <w:sz w:val="16"/>
        </w:rPr>
        <w:t>•</w:t>
      </w:r>
      <w:r>
        <w:rPr>
          <w:rFonts w:cs="Calibri"/>
          <w:sz w:val="16"/>
        </w:rPr>
        <w:t xml:space="preserve"> </w:t>
      </w:r>
      <w:r w:rsidRPr="0088342E">
        <w:rPr>
          <w:rFonts w:cs="Calibri"/>
          <w:sz w:val="22"/>
        </w:rPr>
        <w:t xml:space="preserve">Tel +61 2 9905 6277 </w:t>
      </w:r>
      <w:r w:rsidRPr="0088342E">
        <w:rPr>
          <w:rFonts w:cs="Calibri"/>
          <w:sz w:val="16"/>
        </w:rPr>
        <w:t>•</w:t>
      </w:r>
      <w:r w:rsidRPr="0088342E">
        <w:rPr>
          <w:rFonts w:cs="Calibri"/>
          <w:sz w:val="22"/>
        </w:rPr>
        <w:t xml:space="preserve"> Fax +61 2 9905 8066 </w:t>
      </w:r>
    </w:p>
    <w:p w14:paraId="54FE121E" w14:textId="63933829" w:rsidR="00C3534A" w:rsidRDefault="00626FDE" w:rsidP="00C3534A">
      <w:pPr>
        <w:rPr>
          <w:rFonts w:cs="Calibri"/>
          <w:sz w:val="22"/>
        </w:rPr>
      </w:pPr>
      <w:hyperlink r:id="rId9" w:history="1">
        <w:r w:rsidR="00091366" w:rsidRPr="000C4860">
          <w:rPr>
            <w:rStyle w:val="Hyperlink"/>
            <w:rFonts w:cs="Calibri"/>
            <w:sz w:val="22"/>
          </w:rPr>
          <w:t>sales@deqx.com</w:t>
        </w:r>
      </w:hyperlink>
      <w:r w:rsidR="00C3534A" w:rsidRPr="0088342E">
        <w:rPr>
          <w:rStyle w:val="Hyperlink"/>
          <w:rFonts w:cs="Calibri"/>
          <w:sz w:val="22"/>
        </w:rPr>
        <w:t xml:space="preserve"> </w:t>
      </w:r>
      <w:r w:rsidR="00C3534A" w:rsidRPr="0088342E">
        <w:rPr>
          <w:rFonts w:cs="Calibri"/>
          <w:sz w:val="16"/>
        </w:rPr>
        <w:t>•</w:t>
      </w:r>
      <w:r w:rsidR="00C3534A" w:rsidRPr="0088342E">
        <w:rPr>
          <w:rFonts w:cs="Calibri"/>
          <w:sz w:val="22"/>
        </w:rPr>
        <w:t xml:space="preserve"> </w:t>
      </w:r>
      <w:hyperlink r:id="rId10" w:history="1">
        <w:r w:rsidR="00C3534A" w:rsidRPr="00251620">
          <w:rPr>
            <w:rStyle w:val="Hyperlink"/>
            <w:rFonts w:cs="Calibri"/>
            <w:sz w:val="22"/>
          </w:rPr>
          <w:t>www.DEQX.com</w:t>
        </w:r>
      </w:hyperlink>
    </w:p>
    <w:sectPr w:rsidR="00C3534A" w:rsidSect="00DB0E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573"/>
    <w:multiLevelType w:val="hybridMultilevel"/>
    <w:tmpl w:val="C4C68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77A"/>
    <w:multiLevelType w:val="hybridMultilevel"/>
    <w:tmpl w:val="1D14F612"/>
    <w:lvl w:ilvl="0" w:tplc="9314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83"/>
    <w:rsid w:val="0000182F"/>
    <w:rsid w:val="00031B9F"/>
    <w:rsid w:val="000419A7"/>
    <w:rsid w:val="00043777"/>
    <w:rsid w:val="00061CD7"/>
    <w:rsid w:val="00091366"/>
    <w:rsid w:val="000A0EBB"/>
    <w:rsid w:val="000B255D"/>
    <w:rsid w:val="00105CB4"/>
    <w:rsid w:val="00124EF9"/>
    <w:rsid w:val="00133D8C"/>
    <w:rsid w:val="00144A9D"/>
    <w:rsid w:val="001609AF"/>
    <w:rsid w:val="00162231"/>
    <w:rsid w:val="00162DF0"/>
    <w:rsid w:val="00166905"/>
    <w:rsid w:val="00171FB5"/>
    <w:rsid w:val="00183C25"/>
    <w:rsid w:val="0019677C"/>
    <w:rsid w:val="001B0F3D"/>
    <w:rsid w:val="00206D2C"/>
    <w:rsid w:val="00216A41"/>
    <w:rsid w:val="00226CE2"/>
    <w:rsid w:val="002568D8"/>
    <w:rsid w:val="00257530"/>
    <w:rsid w:val="002701EB"/>
    <w:rsid w:val="002723B9"/>
    <w:rsid w:val="002748F5"/>
    <w:rsid w:val="00287A63"/>
    <w:rsid w:val="00292DB9"/>
    <w:rsid w:val="002C0701"/>
    <w:rsid w:val="002C56A0"/>
    <w:rsid w:val="002D72F0"/>
    <w:rsid w:val="002E2356"/>
    <w:rsid w:val="0031722E"/>
    <w:rsid w:val="00320453"/>
    <w:rsid w:val="00356A8C"/>
    <w:rsid w:val="003A3048"/>
    <w:rsid w:val="003C0680"/>
    <w:rsid w:val="003C2644"/>
    <w:rsid w:val="003D2E96"/>
    <w:rsid w:val="003E0ACD"/>
    <w:rsid w:val="003E47B4"/>
    <w:rsid w:val="003F230B"/>
    <w:rsid w:val="00425DC4"/>
    <w:rsid w:val="00433B69"/>
    <w:rsid w:val="00441F92"/>
    <w:rsid w:val="004436F9"/>
    <w:rsid w:val="004471E6"/>
    <w:rsid w:val="00452414"/>
    <w:rsid w:val="00493BB7"/>
    <w:rsid w:val="00495324"/>
    <w:rsid w:val="004B24C4"/>
    <w:rsid w:val="004C4C6F"/>
    <w:rsid w:val="004D2A33"/>
    <w:rsid w:val="00500947"/>
    <w:rsid w:val="0050415A"/>
    <w:rsid w:val="00512188"/>
    <w:rsid w:val="00530045"/>
    <w:rsid w:val="00532740"/>
    <w:rsid w:val="00546DE9"/>
    <w:rsid w:val="00583A15"/>
    <w:rsid w:val="005A6112"/>
    <w:rsid w:val="005B6F78"/>
    <w:rsid w:val="00602F9F"/>
    <w:rsid w:val="00614273"/>
    <w:rsid w:val="00617F0F"/>
    <w:rsid w:val="00626FDE"/>
    <w:rsid w:val="00646D90"/>
    <w:rsid w:val="0065799A"/>
    <w:rsid w:val="00691058"/>
    <w:rsid w:val="006924A3"/>
    <w:rsid w:val="00697BE7"/>
    <w:rsid w:val="006C1D9F"/>
    <w:rsid w:val="006F31DD"/>
    <w:rsid w:val="00722E02"/>
    <w:rsid w:val="00732F81"/>
    <w:rsid w:val="0075334E"/>
    <w:rsid w:val="007611A8"/>
    <w:rsid w:val="00774CF3"/>
    <w:rsid w:val="00786CDF"/>
    <w:rsid w:val="00793688"/>
    <w:rsid w:val="007A0283"/>
    <w:rsid w:val="007B7EAC"/>
    <w:rsid w:val="007C1FA4"/>
    <w:rsid w:val="007F04C4"/>
    <w:rsid w:val="007F6809"/>
    <w:rsid w:val="008077D5"/>
    <w:rsid w:val="00836BC8"/>
    <w:rsid w:val="00845FB8"/>
    <w:rsid w:val="0085189A"/>
    <w:rsid w:val="00852DD2"/>
    <w:rsid w:val="00857B82"/>
    <w:rsid w:val="008617DF"/>
    <w:rsid w:val="0088342E"/>
    <w:rsid w:val="008A06D7"/>
    <w:rsid w:val="008D3A6A"/>
    <w:rsid w:val="009027D7"/>
    <w:rsid w:val="00915BBA"/>
    <w:rsid w:val="00917B98"/>
    <w:rsid w:val="00930C40"/>
    <w:rsid w:val="00946F1F"/>
    <w:rsid w:val="009537FE"/>
    <w:rsid w:val="00960A60"/>
    <w:rsid w:val="0097567D"/>
    <w:rsid w:val="0099421C"/>
    <w:rsid w:val="009951CA"/>
    <w:rsid w:val="009970EF"/>
    <w:rsid w:val="009A0DB9"/>
    <w:rsid w:val="009A1BBF"/>
    <w:rsid w:val="009A63D0"/>
    <w:rsid w:val="009B532E"/>
    <w:rsid w:val="009D038D"/>
    <w:rsid w:val="009D0D69"/>
    <w:rsid w:val="009D1170"/>
    <w:rsid w:val="009D34BC"/>
    <w:rsid w:val="009D3605"/>
    <w:rsid w:val="009E0F3C"/>
    <w:rsid w:val="00A377B5"/>
    <w:rsid w:val="00A534AE"/>
    <w:rsid w:val="00AE5DDF"/>
    <w:rsid w:val="00B01D79"/>
    <w:rsid w:val="00B219DF"/>
    <w:rsid w:val="00B26606"/>
    <w:rsid w:val="00B356F5"/>
    <w:rsid w:val="00B371C7"/>
    <w:rsid w:val="00B731A5"/>
    <w:rsid w:val="00B91E4F"/>
    <w:rsid w:val="00BB02DF"/>
    <w:rsid w:val="00BB6AB8"/>
    <w:rsid w:val="00BD600A"/>
    <w:rsid w:val="00C3534A"/>
    <w:rsid w:val="00C44CA4"/>
    <w:rsid w:val="00C66389"/>
    <w:rsid w:val="00C84F8B"/>
    <w:rsid w:val="00CB06F9"/>
    <w:rsid w:val="00CB0807"/>
    <w:rsid w:val="00CE7D34"/>
    <w:rsid w:val="00D402F9"/>
    <w:rsid w:val="00D42CA9"/>
    <w:rsid w:val="00D816B8"/>
    <w:rsid w:val="00D93880"/>
    <w:rsid w:val="00DB0EE9"/>
    <w:rsid w:val="00DB748E"/>
    <w:rsid w:val="00DF1D55"/>
    <w:rsid w:val="00DF2F95"/>
    <w:rsid w:val="00DF350F"/>
    <w:rsid w:val="00E11128"/>
    <w:rsid w:val="00E11D34"/>
    <w:rsid w:val="00E13F80"/>
    <w:rsid w:val="00E22D91"/>
    <w:rsid w:val="00E451EA"/>
    <w:rsid w:val="00E70929"/>
    <w:rsid w:val="00E978C8"/>
    <w:rsid w:val="00EE6737"/>
    <w:rsid w:val="00EF73C9"/>
    <w:rsid w:val="00F25F02"/>
    <w:rsid w:val="00F346B1"/>
    <w:rsid w:val="00F43D1D"/>
    <w:rsid w:val="00F54821"/>
    <w:rsid w:val="00F617F1"/>
    <w:rsid w:val="00F73F5C"/>
    <w:rsid w:val="00F80061"/>
    <w:rsid w:val="00F824ED"/>
    <w:rsid w:val="00F91042"/>
    <w:rsid w:val="00F93FFF"/>
    <w:rsid w:val="00FA40E3"/>
    <w:rsid w:val="00FC1ABB"/>
    <w:rsid w:val="00FC2243"/>
    <w:rsid w:val="00FC4368"/>
    <w:rsid w:val="00FD6F8D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68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2"/>
    <w:pPr>
      <w:spacing w:line="320" w:lineRule="exact"/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7A0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A15"/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9A0D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077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2"/>
    <w:pPr>
      <w:spacing w:line="320" w:lineRule="exact"/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7A0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A15"/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9A0DB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077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group.org/australianaudioandavsh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stergroup.org/australianaudioandavsh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Q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deq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Scull\My%20Documents\00%20Ofc%20Templates%2007\normal_js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normal_js_1.dot</Template>
  <TotalTime>79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Links>
    <vt:vector size="30" baseType="variant">
      <vt:variant>
        <vt:i4>7405650</vt:i4>
      </vt:variant>
      <vt:variant>
        <vt:i4>12</vt:i4>
      </vt:variant>
      <vt:variant>
        <vt:i4>0</vt:i4>
      </vt:variant>
      <vt:variant>
        <vt:i4>5</vt:i4>
      </vt:variant>
      <vt:variant>
        <vt:lpwstr>mailto:usasales@ultralinkproducts.com</vt:lpwstr>
      </vt:variant>
      <vt:variant>
        <vt:lpwstr/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http://www.scullcommunications-emailmarketer.com/em/link.php?M=1114&amp;N=221&amp;L=873&amp;F=H</vt:lpwstr>
      </vt:variant>
      <vt:variant>
        <vt:lpwstr/>
      </vt:variant>
      <vt:variant>
        <vt:i4>6815813</vt:i4>
      </vt:variant>
      <vt:variant>
        <vt:i4>6</vt:i4>
      </vt:variant>
      <vt:variant>
        <vt:i4>0</vt:i4>
      </vt:variant>
      <vt:variant>
        <vt:i4>5</vt:i4>
      </vt:variant>
      <vt:variant>
        <vt:lpwstr>mailto:cdnsales@ultralinkproducts.com</vt:lpwstr>
      </vt:variant>
      <vt:variant>
        <vt:lpwstr/>
      </vt:variant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mailto:pjzornosa@tcavgroup.com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mailto:pj@xloelectric.com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Scull</dc:creator>
  <cp:lastModifiedBy>Jonathan Scull</cp:lastModifiedBy>
  <cp:revision>6</cp:revision>
  <dcterms:created xsi:type="dcterms:W3CDTF">2013-10-17T20:47:00Z</dcterms:created>
  <dcterms:modified xsi:type="dcterms:W3CDTF">2013-10-18T17:59:00Z</dcterms:modified>
</cp:coreProperties>
</file>