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91" w:rsidRPr="00624C6D" w:rsidRDefault="00D66C91" w:rsidP="00DB7231">
      <w:pPr>
        <w:spacing w:after="0" w:line="320" w:lineRule="exact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/>
          <w:noProof/>
          <w:sz w:val="32"/>
          <w:szCs w:val="24"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-99695</wp:posOffset>
            </wp:positionV>
            <wp:extent cx="1372235" cy="1375410"/>
            <wp:effectExtent l="19050" t="0" r="0" b="0"/>
            <wp:wrapThrough wrapText="bothSides">
              <wp:wrapPolygon edited="0">
                <wp:start x="-300" y="0"/>
                <wp:lineTo x="-300" y="21241"/>
                <wp:lineTo x="21590" y="21241"/>
                <wp:lineTo x="21590" y="0"/>
                <wp:lineTo x="-300" y="0"/>
              </wp:wrapPolygon>
            </wp:wrapThrough>
            <wp:docPr id="7" name="Picture 6" descr="upower_s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ower_sn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C6D">
        <w:rPr>
          <w:rFonts w:ascii="Arial" w:hAnsi="Arial" w:cs="Arial"/>
          <w:bCs/>
        </w:rPr>
        <w:t xml:space="preserve">Ontario, California • November 18, 2010 • Ultralink/XLO Products, Inc., an innovative and prolific manufacturer of award-winning audio and video interconnects, cables and AC power products introduces the UltraPower® </w:t>
      </w:r>
      <w:r w:rsidR="00761B49">
        <w:rPr>
          <w:rFonts w:ascii="Arial" w:hAnsi="Arial" w:cs="Arial"/>
          <w:bCs/>
        </w:rPr>
        <w:t>PGX-UPS IP-addressable Surge Protector and battery backup.</w:t>
      </w:r>
    </w:p>
    <w:p w:rsidR="00D66C91" w:rsidRDefault="00373DCA" w:rsidP="00373DCA">
      <w:pPr>
        <w:spacing w:after="120" w:line="320" w:lineRule="exact"/>
        <w:contextualSpacing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noProof/>
        </w:rPr>
        <w:drawing>
          <wp:anchor distT="0" distB="0" distL="114300" distR="114300" simplePos="0" relativeHeight="251727360" behindDoc="0" locked="0" layoutInCell="0" allowOverlap="0">
            <wp:simplePos x="0" y="0"/>
            <wp:positionH relativeFrom="column">
              <wp:posOffset>2419350</wp:posOffset>
            </wp:positionH>
            <wp:positionV relativeFrom="paragraph">
              <wp:posOffset>188595</wp:posOffset>
            </wp:positionV>
            <wp:extent cx="2294255" cy="2472690"/>
            <wp:effectExtent l="19050" t="0" r="0" b="0"/>
            <wp:wrapSquare wrapText="left"/>
            <wp:docPr id="11" name="Picture 5" descr="system_control_s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stem_control_sn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B49" w:rsidRDefault="00761B49" w:rsidP="00373DCA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Pr="00761B49">
        <w:rPr>
          <w:rFonts w:ascii="Arial" w:hAnsi="Arial" w:cs="Arial"/>
          <w:bCs/>
        </w:rPr>
        <w:t>PGX-UPS completes our line of UltraPower AC system control products. We have every product for every need, no gaps! The PGX-UPS is – remarkably – an IP-addressable battery backup and surge protector featuring AVR™ Automatic Voltage Control. Check and change setting</w:t>
      </w:r>
      <w:r>
        <w:rPr>
          <w:rFonts w:ascii="Arial" w:hAnsi="Arial" w:cs="Arial"/>
          <w:bCs/>
        </w:rPr>
        <w:t>s</w:t>
      </w:r>
      <w:r w:rsidRPr="00761B49">
        <w:rPr>
          <w:rFonts w:ascii="Arial" w:hAnsi="Arial" w:cs="Arial"/>
          <w:bCs/>
        </w:rPr>
        <w:t xml:space="preserve"> on your computer! </w:t>
      </w:r>
    </w:p>
    <w:p w:rsidR="009B7570" w:rsidRDefault="009B7570" w:rsidP="00373DCA">
      <w:pPr>
        <w:spacing w:after="120" w:line="320" w:lineRule="exact"/>
        <w:contextualSpacing/>
        <w:jc w:val="both"/>
        <w:rPr>
          <w:rFonts w:ascii="Arial" w:hAnsi="Arial" w:cs="Arial"/>
          <w:b/>
          <w:bCs/>
          <w:i/>
        </w:rPr>
      </w:pPr>
    </w:p>
    <w:p w:rsidR="009B7570" w:rsidRDefault="009B7570" w:rsidP="00373DCA">
      <w:pPr>
        <w:spacing w:after="120" w:line="320" w:lineRule="exact"/>
        <w:contextualSpacing/>
        <w:jc w:val="both"/>
        <w:rPr>
          <w:rFonts w:ascii="Arial" w:hAnsi="Arial" w:cs="Arial"/>
          <w:bCs/>
          <w:iCs/>
        </w:rPr>
      </w:pPr>
      <w:r w:rsidRPr="009B7570">
        <w:rPr>
          <w:rFonts w:ascii="Arial" w:hAnsi="Arial" w:cs="Arial"/>
          <w:bCs/>
          <w:iCs/>
        </w:rPr>
        <w:t xml:space="preserve">The PGX-UPS is efficiently designed around its battery backup function. Most backup units trip only when there’s a power outage, but that leaves you completely unprotected against the constant power sags and surges that can wreak havoc on your valuable </w:t>
      </w:r>
      <w:r>
        <w:rPr>
          <w:rFonts w:ascii="Arial" w:hAnsi="Arial" w:cs="Arial"/>
          <w:bCs/>
          <w:iCs/>
        </w:rPr>
        <w:t xml:space="preserve">audio and </w:t>
      </w:r>
      <w:r w:rsidRPr="009B7570">
        <w:rPr>
          <w:rFonts w:ascii="Arial" w:hAnsi="Arial" w:cs="Arial"/>
          <w:bCs/>
          <w:iCs/>
        </w:rPr>
        <w:t xml:space="preserve">home theater components. The PGX-UPS maintains smooth, consistent power to your system with AVR (Automatic Voltage Regulation) technology that constantly correct for small voltage fluctuation creating a stable, clean power platform for all connected components. If the power goes out, the unit goes to battery power </w:t>
      </w:r>
      <w:r>
        <w:rPr>
          <w:rFonts w:ascii="Arial" w:hAnsi="Arial" w:cs="Arial"/>
          <w:bCs/>
          <w:iCs/>
        </w:rPr>
        <w:t xml:space="preserve">then </w:t>
      </w:r>
      <w:r w:rsidRPr="009B7570">
        <w:rPr>
          <w:rFonts w:ascii="Arial" w:hAnsi="Arial" w:cs="Arial"/>
          <w:bCs/>
          <w:iCs/>
        </w:rPr>
        <w:t xml:space="preserve">switches </w:t>
      </w:r>
      <w:r>
        <w:rPr>
          <w:rFonts w:ascii="Arial" w:hAnsi="Arial" w:cs="Arial"/>
          <w:bCs/>
          <w:iCs/>
        </w:rPr>
        <w:t xml:space="preserve">back </w:t>
      </w:r>
      <w:r w:rsidRPr="009B7570">
        <w:rPr>
          <w:rFonts w:ascii="Arial" w:hAnsi="Arial" w:cs="Arial"/>
          <w:bCs/>
          <w:iCs/>
        </w:rPr>
        <w:t xml:space="preserve">to the AC line when power is restored. The 1200/640 watt battery provides up to 40 minutes of backup power ensuring system memory settings remain active.  </w:t>
      </w:r>
    </w:p>
    <w:p w:rsidR="009B7570" w:rsidRDefault="009B7570" w:rsidP="00373DCA">
      <w:pPr>
        <w:spacing w:after="120" w:line="320" w:lineRule="exact"/>
        <w:contextualSpacing/>
        <w:jc w:val="both"/>
        <w:rPr>
          <w:rFonts w:ascii="Arial" w:hAnsi="Arial" w:cs="Arial"/>
          <w:bCs/>
          <w:iCs/>
        </w:rPr>
      </w:pPr>
    </w:p>
    <w:p w:rsidR="009B7570" w:rsidRDefault="009B7570" w:rsidP="00373DCA">
      <w:pPr>
        <w:spacing w:after="120" w:line="320" w:lineRule="exact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The PGX-UPS </w:t>
      </w:r>
      <w:r w:rsidRPr="00761B49">
        <w:rPr>
          <w:rFonts w:ascii="Arial" w:hAnsi="Arial" w:cs="Arial"/>
          <w:bCs/>
        </w:rPr>
        <w:t xml:space="preserve">features </w:t>
      </w:r>
      <w:r w:rsidRPr="00761B49">
        <w:rPr>
          <w:rFonts w:ascii="Arial" w:hAnsi="Arial" w:cs="Arial"/>
          <w:bCs/>
          <w:lang w:val="cs-CZ"/>
        </w:rPr>
        <w:t xml:space="preserve">10 surge-protected Outlet (6 with battery backup), </w:t>
      </w:r>
      <w:r>
        <w:rPr>
          <w:rFonts w:ascii="Arial" w:hAnsi="Arial" w:cs="Arial"/>
          <w:bCs/>
          <w:lang w:val="cs-CZ"/>
        </w:rPr>
        <w:t xml:space="preserve">the </w:t>
      </w:r>
      <w:r w:rsidRPr="00761B49">
        <w:rPr>
          <w:rFonts w:ascii="Arial" w:hAnsi="Arial" w:cs="Arial"/>
          <w:bCs/>
          <w:lang w:val="cs-CZ"/>
        </w:rPr>
        <w:t>1200VA/640W battery, a 5,500 Joule rating,</w:t>
      </w:r>
      <w:r w:rsidRPr="00761B49">
        <w:rPr>
          <w:rFonts w:ascii="Arial" w:hAnsi="Arial" w:cs="Arial"/>
          <w:bCs/>
        </w:rPr>
        <w:t xml:space="preserve"> </w:t>
      </w:r>
      <w:r w:rsidRPr="00761B49">
        <w:rPr>
          <w:rFonts w:ascii="Arial" w:hAnsi="Arial" w:cs="Arial"/>
          <w:bCs/>
          <w:lang w:val="cs-CZ"/>
        </w:rPr>
        <w:t>3 pairs of Coax Line Protection, 1 pair Data, and 1 pair Phone protection</w:t>
      </w:r>
      <w:r w:rsidR="00373DCA">
        <w:rPr>
          <w:rFonts w:ascii="Arial" w:hAnsi="Arial" w:cs="Arial"/>
          <w:bCs/>
          <w:lang w:val="cs-CZ"/>
        </w:rPr>
        <w:t>, a</w:t>
      </w:r>
      <w:r>
        <w:rPr>
          <w:rFonts w:ascii="Arial" w:hAnsi="Arial" w:cs="Arial"/>
          <w:bCs/>
          <w:lang w:val="cs-CZ"/>
        </w:rPr>
        <w:t>nd</w:t>
      </w:r>
      <w:r w:rsidRPr="009B7570">
        <w:rPr>
          <w:rFonts w:ascii="Arial" w:hAnsi="Arial" w:cs="Arial"/>
          <w:bCs/>
          <w:iCs/>
        </w:rPr>
        <w:t xml:space="preserve"> a</w:t>
      </w:r>
      <w:r w:rsidR="00373DCA">
        <w:rPr>
          <w:rFonts w:ascii="Arial" w:hAnsi="Arial" w:cs="Arial"/>
          <w:bCs/>
          <w:iCs/>
        </w:rPr>
        <w:t>n IP-addressable</w:t>
      </w:r>
      <w:r w:rsidRPr="009B7570">
        <w:rPr>
          <w:rFonts w:ascii="Arial" w:hAnsi="Arial" w:cs="Arial"/>
          <w:bCs/>
          <w:iCs/>
        </w:rPr>
        <w:t xml:space="preserve"> USB port </w:t>
      </w:r>
      <w:r w:rsidR="00373DCA">
        <w:rPr>
          <w:rFonts w:ascii="Arial" w:hAnsi="Arial" w:cs="Arial"/>
          <w:bCs/>
          <w:iCs/>
        </w:rPr>
        <w:t>to monitor the UPS and change settings!</w:t>
      </w:r>
      <w:r w:rsidR="00373DCA" w:rsidRPr="00373DCA">
        <w:rPr>
          <w:rFonts w:ascii="Arial" w:hAnsi="Arial" w:cs="Arial"/>
          <w:bCs/>
          <w:iCs/>
        </w:rPr>
        <w:t xml:space="preserve"> </w:t>
      </w:r>
      <w:r w:rsidR="00373DCA">
        <w:rPr>
          <w:rFonts w:ascii="Arial" w:hAnsi="Arial" w:cs="Arial"/>
          <w:bCs/>
          <w:iCs/>
        </w:rPr>
        <w:t xml:space="preserve">It </w:t>
      </w:r>
      <w:r w:rsidR="00373DCA" w:rsidRPr="009B7570">
        <w:rPr>
          <w:rFonts w:ascii="Arial" w:hAnsi="Arial" w:cs="Arial"/>
          <w:bCs/>
          <w:iCs/>
        </w:rPr>
        <w:t>carries a 3-Year Warranty, a $500,000 Connected Equipment Warranty, and comes with a six foot premium power cord.</w:t>
      </w:r>
    </w:p>
    <w:p w:rsidR="00373DCA" w:rsidRPr="00761B49" w:rsidRDefault="00373DCA" w:rsidP="00373DCA">
      <w:pPr>
        <w:spacing w:after="120" w:line="320" w:lineRule="exact"/>
        <w:contextualSpacing/>
        <w:jc w:val="both"/>
        <w:rPr>
          <w:rFonts w:ascii="Arial" w:hAnsi="Arial" w:cs="Arial"/>
          <w:bCs/>
        </w:rPr>
      </w:pPr>
    </w:p>
    <w:p w:rsidR="00761B49" w:rsidRPr="00761B49" w:rsidRDefault="00761B49" w:rsidP="00373DCA">
      <w:pPr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761B49">
        <w:rPr>
          <w:rFonts w:ascii="Arial" w:hAnsi="Arial" w:cs="Arial"/>
          <w:bCs/>
        </w:rPr>
        <w:t>Reflecting UltraPower Style, the PGX-UPS has a handsome and informative front panel with an overall fit and finish that’s decidedly upscale. Like the rest of the line, the PGX-UPS appears elegant and non-intimidating making it easier to close the sale especially when appearance counts. Not just another pretty face in our line, each PGX-UPS is built to high standard specifications for top performance in every respect.</w:t>
      </w:r>
    </w:p>
    <w:p w:rsidR="00624C6D" w:rsidRPr="00624C6D" w:rsidRDefault="00624C6D" w:rsidP="00DC6BA0">
      <w:pPr>
        <w:spacing w:after="0" w:line="280" w:lineRule="exact"/>
        <w:contextualSpacing/>
        <w:jc w:val="both"/>
        <w:rPr>
          <w:rFonts w:ascii="Arial" w:hAnsi="Arial" w:cs="Arial"/>
          <w:bCs/>
        </w:rPr>
      </w:pPr>
    </w:p>
    <w:p w:rsidR="0009070F" w:rsidRPr="00624C6D" w:rsidRDefault="00373DCA" w:rsidP="000C5C4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i/>
        </w:rPr>
        <w:t>Ultralink has</w:t>
      </w:r>
      <w:r w:rsidR="0009070F" w:rsidRPr="00624C6D">
        <w:rPr>
          <w:rFonts w:ascii="Arial" w:hAnsi="Arial" w:cs="Arial"/>
          <w:b/>
          <w:bCs/>
          <w:i/>
        </w:rPr>
        <w:t xml:space="preserve"> you covered</w:t>
      </w:r>
      <w:r>
        <w:rPr>
          <w:rFonts w:ascii="Arial" w:hAnsi="Arial" w:cs="Arial"/>
          <w:b/>
          <w:bCs/>
          <w:i/>
        </w:rPr>
        <w:t>!</w:t>
      </w:r>
    </w:p>
    <w:p w:rsidR="00A174A7" w:rsidRPr="00624C6D" w:rsidRDefault="00A174A7" w:rsidP="00D66388">
      <w:pPr>
        <w:spacing w:after="120" w:line="320" w:lineRule="exact"/>
        <w:contextualSpacing/>
        <w:rPr>
          <w:rFonts w:ascii="Arial" w:hAnsi="Arial" w:cs="Arial"/>
          <w:bCs/>
        </w:rPr>
      </w:pPr>
    </w:p>
    <w:p w:rsidR="00A174A7" w:rsidRDefault="00D66388" w:rsidP="00A80D22">
      <w:pPr>
        <w:spacing w:after="0"/>
        <w:rPr>
          <w:rFonts w:ascii="Arial" w:hAnsi="Arial" w:cs="Arial"/>
          <w:bCs/>
        </w:rPr>
      </w:pPr>
      <w:r w:rsidRPr="00624C6D">
        <w:rPr>
          <w:rFonts w:ascii="Arial" w:hAnsi="Arial" w:cs="Arial"/>
          <w:bCs/>
        </w:rPr>
        <w:t xml:space="preserve">ULTRALINK/XLO PRODUCTS, INC. 1951 South Lynx Avenue Ontario, California, U.S.A. 91761 Tel: (909) 947-6960 Fax: (909) 947-6970 Web: </w:t>
      </w:r>
      <w:hyperlink r:id="rId7" w:history="1">
        <w:r w:rsidRPr="00624C6D">
          <w:rPr>
            <w:rStyle w:val="Hyperlink"/>
            <w:rFonts w:ascii="Arial" w:hAnsi="Arial" w:cs="Arial"/>
            <w:bCs/>
          </w:rPr>
          <w:t>www.ultralinkproducts.com</w:t>
        </w:r>
      </w:hyperlink>
      <w:r w:rsidRPr="00624C6D">
        <w:rPr>
          <w:rFonts w:ascii="Arial" w:hAnsi="Arial" w:cs="Arial"/>
          <w:bCs/>
        </w:rPr>
        <w:t xml:space="preserve"> </w:t>
      </w:r>
    </w:p>
    <w:p w:rsidR="00373DCA" w:rsidRDefault="00373DCA" w:rsidP="00A80D22">
      <w:pPr>
        <w:spacing w:after="0"/>
        <w:rPr>
          <w:rFonts w:ascii="Arial" w:hAnsi="Arial" w:cs="Arial"/>
          <w:bCs/>
        </w:rPr>
      </w:pPr>
    </w:p>
    <w:p w:rsidR="00373DCA" w:rsidRPr="00373DCA" w:rsidRDefault="00373DCA" w:rsidP="00373DCA">
      <w:pPr>
        <w:spacing w:after="0"/>
        <w:rPr>
          <w:rFonts w:ascii="Arial" w:hAnsi="Arial" w:cs="Arial"/>
          <w:bCs/>
          <w:i/>
        </w:rPr>
      </w:pPr>
      <w:r w:rsidRPr="00373DCA">
        <w:rPr>
          <w:rFonts w:ascii="Arial" w:hAnsi="Arial" w:cs="Arial"/>
          <w:bCs/>
          <w:i/>
        </w:rPr>
        <w:t xml:space="preserve">Info </w:t>
      </w:r>
      <w:r w:rsidRPr="00373DCA">
        <w:rPr>
          <w:rFonts w:ascii="Arial" w:hAnsi="Arial" w:cs="Arial"/>
          <w:bCs/>
          <w:sz w:val="18"/>
        </w:rPr>
        <w:t>•</w:t>
      </w:r>
      <w:r w:rsidRPr="00373DCA">
        <w:rPr>
          <w:rFonts w:ascii="Arial" w:hAnsi="Arial" w:cs="Arial"/>
          <w:bCs/>
          <w:i/>
        </w:rPr>
        <w:t xml:space="preserve"> Press </w:t>
      </w:r>
      <w:r w:rsidRPr="00373DCA">
        <w:rPr>
          <w:rFonts w:ascii="Arial" w:hAnsi="Arial" w:cs="Arial"/>
          <w:bCs/>
          <w:sz w:val="18"/>
        </w:rPr>
        <w:t>•</w:t>
      </w:r>
      <w:r w:rsidRPr="00373DCA">
        <w:rPr>
          <w:rFonts w:ascii="Arial" w:hAnsi="Arial" w:cs="Arial"/>
          <w:bCs/>
          <w:i/>
        </w:rPr>
        <w:t xml:space="preserve"> Images </w:t>
      </w:r>
      <w:r w:rsidRPr="00373DCA">
        <w:rPr>
          <w:rFonts w:ascii="Arial" w:hAnsi="Arial" w:cs="Arial"/>
          <w:bCs/>
          <w:sz w:val="18"/>
        </w:rPr>
        <w:t>•</w:t>
      </w:r>
      <w:r w:rsidRPr="00373DCA">
        <w:rPr>
          <w:rFonts w:ascii="Arial" w:hAnsi="Arial" w:cs="Arial"/>
          <w:bCs/>
          <w:i/>
        </w:rPr>
        <w:t xml:space="preserve"> Reviews  </w:t>
      </w:r>
    </w:p>
    <w:p w:rsidR="00373DCA" w:rsidRPr="00373DCA" w:rsidRDefault="00373DCA" w:rsidP="00A80D22">
      <w:pPr>
        <w:spacing w:after="0"/>
        <w:rPr>
          <w:rFonts w:ascii="Arial" w:hAnsi="Arial" w:cs="Arial"/>
          <w:bCs/>
          <w:i/>
        </w:rPr>
      </w:pPr>
      <w:r w:rsidRPr="00373DCA">
        <w:rPr>
          <w:rFonts w:ascii="Arial" w:hAnsi="Arial" w:cs="Arial"/>
          <w:bCs/>
          <w:i/>
        </w:rPr>
        <w:t xml:space="preserve">Jonathan Scull </w:t>
      </w:r>
      <w:r w:rsidRPr="00373DCA">
        <w:rPr>
          <w:rFonts w:ascii="Arial" w:hAnsi="Arial" w:cs="Arial"/>
          <w:bCs/>
          <w:sz w:val="18"/>
        </w:rPr>
        <w:t>•</w:t>
      </w:r>
      <w:r w:rsidRPr="00373DCA">
        <w:rPr>
          <w:rFonts w:ascii="Arial" w:hAnsi="Arial" w:cs="Arial"/>
          <w:bCs/>
          <w:i/>
        </w:rPr>
        <w:t xml:space="preserve"> Scull Communications </w:t>
      </w:r>
      <w:r w:rsidRPr="00373DCA">
        <w:rPr>
          <w:rFonts w:ascii="Arial" w:hAnsi="Arial" w:cs="Arial"/>
          <w:bCs/>
          <w:sz w:val="18"/>
        </w:rPr>
        <w:t>•</w:t>
      </w:r>
      <w:r w:rsidRPr="00373DCA">
        <w:rPr>
          <w:rFonts w:ascii="Arial" w:hAnsi="Arial" w:cs="Arial"/>
          <w:bCs/>
          <w:i/>
        </w:rPr>
        <w:t xml:space="preserve"> 212 807.0519 </w:t>
      </w:r>
      <w:r w:rsidRPr="00373DCA">
        <w:rPr>
          <w:rFonts w:ascii="Arial" w:hAnsi="Arial" w:cs="Arial"/>
          <w:bCs/>
          <w:i/>
        </w:rPr>
        <w:br/>
      </w:r>
      <w:hyperlink r:id="rId8" w:history="1">
        <w:r w:rsidRPr="00373DCA">
          <w:rPr>
            <w:rStyle w:val="Hyperlink"/>
            <w:rFonts w:ascii="Arial" w:hAnsi="Arial" w:cs="Arial"/>
            <w:bCs/>
            <w:i/>
          </w:rPr>
          <w:t>jscull@scullcommunications.com</w:t>
        </w:r>
      </w:hyperlink>
      <w:r w:rsidRPr="00373DCA">
        <w:rPr>
          <w:rFonts w:ascii="Arial" w:hAnsi="Arial" w:cs="Arial"/>
          <w:bCs/>
          <w:i/>
        </w:rPr>
        <w:t xml:space="preserve"> </w:t>
      </w:r>
      <w:r w:rsidRPr="00373DCA">
        <w:rPr>
          <w:rFonts w:ascii="Arial" w:hAnsi="Arial" w:cs="Arial"/>
          <w:bCs/>
          <w:sz w:val="18"/>
        </w:rPr>
        <w:t>•</w:t>
      </w:r>
      <w:r w:rsidRPr="00373DCA">
        <w:rPr>
          <w:rFonts w:ascii="Arial" w:hAnsi="Arial" w:cs="Arial"/>
          <w:bCs/>
          <w:i/>
        </w:rPr>
        <w:t xml:space="preserve"> </w:t>
      </w:r>
      <w:hyperlink r:id="rId9" w:history="1">
        <w:r w:rsidRPr="00373DCA">
          <w:rPr>
            <w:rStyle w:val="Hyperlink"/>
            <w:rFonts w:ascii="Arial" w:hAnsi="Arial" w:cs="Arial"/>
            <w:bCs/>
            <w:i/>
          </w:rPr>
          <w:t>www.scullcommunications.com</w:t>
        </w:r>
      </w:hyperlink>
      <w:r w:rsidRPr="00373DCA">
        <w:rPr>
          <w:rFonts w:ascii="Arial" w:hAnsi="Arial" w:cs="Arial"/>
          <w:bCs/>
          <w:i/>
        </w:rPr>
        <w:t xml:space="preserve"> </w:t>
      </w:r>
      <w:hyperlink r:id="rId10" w:history="1">
        <w:r w:rsidRPr="00373DCA">
          <w:rPr>
            <w:rStyle w:val="Hyperlink"/>
            <w:rFonts w:ascii="Arial" w:hAnsi="Arial" w:cs="Arial"/>
            <w:bCs/>
            <w:i/>
          </w:rPr>
          <w:t>www.scullcommunications.com/pressresources.html</w:t>
        </w:r>
      </w:hyperlink>
    </w:p>
    <w:sectPr w:rsidR="00373DCA" w:rsidRPr="00373DCA" w:rsidSect="001753AA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68E"/>
    <w:multiLevelType w:val="multilevel"/>
    <w:tmpl w:val="70E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C4BAB"/>
    <w:multiLevelType w:val="hybridMultilevel"/>
    <w:tmpl w:val="BCE8B9AA"/>
    <w:lvl w:ilvl="0" w:tplc="66D8C67A">
      <w:start w:val="1993"/>
      <w:numFmt w:val="decimal"/>
      <w:lvlText w:val="%1"/>
      <w:lvlJc w:val="left"/>
      <w:pPr>
        <w:ind w:left="960" w:hanging="60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538CC"/>
    <w:multiLevelType w:val="hybridMultilevel"/>
    <w:tmpl w:val="2F1239E6"/>
    <w:lvl w:ilvl="0" w:tplc="A63003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87A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E1F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C1A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C7E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53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ECB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438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A85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8B0D82"/>
    <w:multiLevelType w:val="hybridMultilevel"/>
    <w:tmpl w:val="C1103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2433E"/>
    <w:multiLevelType w:val="hybridMultilevel"/>
    <w:tmpl w:val="E1E2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5A62"/>
    <w:rsid w:val="000008CD"/>
    <w:rsid w:val="00005B5D"/>
    <w:rsid w:val="00006B58"/>
    <w:rsid w:val="0001007E"/>
    <w:rsid w:val="000421D3"/>
    <w:rsid w:val="00047F80"/>
    <w:rsid w:val="00050289"/>
    <w:rsid w:val="00055D35"/>
    <w:rsid w:val="00060D2C"/>
    <w:rsid w:val="00063B69"/>
    <w:rsid w:val="00063FDD"/>
    <w:rsid w:val="00075287"/>
    <w:rsid w:val="000768DC"/>
    <w:rsid w:val="00076C8C"/>
    <w:rsid w:val="000847A5"/>
    <w:rsid w:val="0009070F"/>
    <w:rsid w:val="000A15B2"/>
    <w:rsid w:val="000A29AC"/>
    <w:rsid w:val="000A4CB6"/>
    <w:rsid w:val="000B0C13"/>
    <w:rsid w:val="000B1A3B"/>
    <w:rsid w:val="000B1B01"/>
    <w:rsid w:val="000C5090"/>
    <w:rsid w:val="000C5C4C"/>
    <w:rsid w:val="000C71DF"/>
    <w:rsid w:val="000D0D26"/>
    <w:rsid w:val="000D7B22"/>
    <w:rsid w:val="000E0BF4"/>
    <w:rsid w:val="000E20E8"/>
    <w:rsid w:val="000E4EE6"/>
    <w:rsid w:val="000E7104"/>
    <w:rsid w:val="00116859"/>
    <w:rsid w:val="0012344B"/>
    <w:rsid w:val="00126B71"/>
    <w:rsid w:val="00132C9D"/>
    <w:rsid w:val="00146BCE"/>
    <w:rsid w:val="001600AB"/>
    <w:rsid w:val="00163FB0"/>
    <w:rsid w:val="00164FE4"/>
    <w:rsid w:val="00165694"/>
    <w:rsid w:val="00173945"/>
    <w:rsid w:val="001753AA"/>
    <w:rsid w:val="001753C8"/>
    <w:rsid w:val="00190AD9"/>
    <w:rsid w:val="00197EC8"/>
    <w:rsid w:val="001A23F3"/>
    <w:rsid w:val="001A2F74"/>
    <w:rsid w:val="001A3132"/>
    <w:rsid w:val="001A3C01"/>
    <w:rsid w:val="001A5EC4"/>
    <w:rsid w:val="001A74BD"/>
    <w:rsid w:val="001C19A7"/>
    <w:rsid w:val="001D119F"/>
    <w:rsid w:val="001D652C"/>
    <w:rsid w:val="001E0B52"/>
    <w:rsid w:val="00200432"/>
    <w:rsid w:val="00201C1B"/>
    <w:rsid w:val="00202BE2"/>
    <w:rsid w:val="00205A96"/>
    <w:rsid w:val="00207D38"/>
    <w:rsid w:val="00211238"/>
    <w:rsid w:val="0021247F"/>
    <w:rsid w:val="00215E61"/>
    <w:rsid w:val="0022175B"/>
    <w:rsid w:val="00231B35"/>
    <w:rsid w:val="002347B5"/>
    <w:rsid w:val="002401BE"/>
    <w:rsid w:val="002505CC"/>
    <w:rsid w:val="002672F9"/>
    <w:rsid w:val="002907D3"/>
    <w:rsid w:val="002A06A3"/>
    <w:rsid w:val="002A1DFF"/>
    <w:rsid w:val="002B456B"/>
    <w:rsid w:val="002D5361"/>
    <w:rsid w:val="003033BB"/>
    <w:rsid w:val="003104F9"/>
    <w:rsid w:val="00315D20"/>
    <w:rsid w:val="00316B51"/>
    <w:rsid w:val="003246EB"/>
    <w:rsid w:val="003256F6"/>
    <w:rsid w:val="00330F6B"/>
    <w:rsid w:val="00336E5D"/>
    <w:rsid w:val="003375BD"/>
    <w:rsid w:val="00346562"/>
    <w:rsid w:val="0035666D"/>
    <w:rsid w:val="00357DE8"/>
    <w:rsid w:val="00373DCA"/>
    <w:rsid w:val="003807A8"/>
    <w:rsid w:val="00381C40"/>
    <w:rsid w:val="003849E3"/>
    <w:rsid w:val="00392844"/>
    <w:rsid w:val="0039632C"/>
    <w:rsid w:val="003A3E14"/>
    <w:rsid w:val="003A7AB3"/>
    <w:rsid w:val="003B0732"/>
    <w:rsid w:val="003B1D17"/>
    <w:rsid w:val="003B6FAC"/>
    <w:rsid w:val="003C605C"/>
    <w:rsid w:val="003D34A2"/>
    <w:rsid w:val="003D6033"/>
    <w:rsid w:val="003E2D94"/>
    <w:rsid w:val="003E6C49"/>
    <w:rsid w:val="0040166D"/>
    <w:rsid w:val="004022C7"/>
    <w:rsid w:val="00405136"/>
    <w:rsid w:val="0040599D"/>
    <w:rsid w:val="00407998"/>
    <w:rsid w:val="004238AA"/>
    <w:rsid w:val="00427B63"/>
    <w:rsid w:val="004465B1"/>
    <w:rsid w:val="00450B08"/>
    <w:rsid w:val="004641DB"/>
    <w:rsid w:val="00464764"/>
    <w:rsid w:val="00466416"/>
    <w:rsid w:val="00467981"/>
    <w:rsid w:val="00471BFE"/>
    <w:rsid w:val="00481763"/>
    <w:rsid w:val="004833AD"/>
    <w:rsid w:val="004A0DDC"/>
    <w:rsid w:val="004A607F"/>
    <w:rsid w:val="004B741E"/>
    <w:rsid w:val="004C05D8"/>
    <w:rsid w:val="004C743F"/>
    <w:rsid w:val="004D2842"/>
    <w:rsid w:val="004D2A4D"/>
    <w:rsid w:val="004D3C50"/>
    <w:rsid w:val="004E248E"/>
    <w:rsid w:val="004E3320"/>
    <w:rsid w:val="004F03C0"/>
    <w:rsid w:val="004F7304"/>
    <w:rsid w:val="00502DAC"/>
    <w:rsid w:val="00506E5C"/>
    <w:rsid w:val="00515CD2"/>
    <w:rsid w:val="005240FA"/>
    <w:rsid w:val="00525A8D"/>
    <w:rsid w:val="00534BDA"/>
    <w:rsid w:val="00535BB4"/>
    <w:rsid w:val="00536E15"/>
    <w:rsid w:val="0054725C"/>
    <w:rsid w:val="0055322C"/>
    <w:rsid w:val="00560041"/>
    <w:rsid w:val="005664C0"/>
    <w:rsid w:val="00567A66"/>
    <w:rsid w:val="00576B80"/>
    <w:rsid w:val="00582009"/>
    <w:rsid w:val="00586FF4"/>
    <w:rsid w:val="005922F1"/>
    <w:rsid w:val="005929BA"/>
    <w:rsid w:val="005A0B82"/>
    <w:rsid w:val="005A2DB4"/>
    <w:rsid w:val="005A6246"/>
    <w:rsid w:val="005A77ED"/>
    <w:rsid w:val="005B2F13"/>
    <w:rsid w:val="005C6478"/>
    <w:rsid w:val="005D1BCE"/>
    <w:rsid w:val="005D7F16"/>
    <w:rsid w:val="005E067A"/>
    <w:rsid w:val="005E35F8"/>
    <w:rsid w:val="005F5BB0"/>
    <w:rsid w:val="00604F69"/>
    <w:rsid w:val="0060583A"/>
    <w:rsid w:val="00607184"/>
    <w:rsid w:val="006104C4"/>
    <w:rsid w:val="006141BB"/>
    <w:rsid w:val="00624C6D"/>
    <w:rsid w:val="00635D5B"/>
    <w:rsid w:val="006410FB"/>
    <w:rsid w:val="00645CE6"/>
    <w:rsid w:val="00645E9F"/>
    <w:rsid w:val="00646B3D"/>
    <w:rsid w:val="0064738A"/>
    <w:rsid w:val="00651BAB"/>
    <w:rsid w:val="0065471E"/>
    <w:rsid w:val="00655A2C"/>
    <w:rsid w:val="00675566"/>
    <w:rsid w:val="006800DD"/>
    <w:rsid w:val="0068335A"/>
    <w:rsid w:val="006836B1"/>
    <w:rsid w:val="00686DEC"/>
    <w:rsid w:val="00687759"/>
    <w:rsid w:val="00687C40"/>
    <w:rsid w:val="00691606"/>
    <w:rsid w:val="006937B1"/>
    <w:rsid w:val="00693FA1"/>
    <w:rsid w:val="00694590"/>
    <w:rsid w:val="006A629D"/>
    <w:rsid w:val="006D1860"/>
    <w:rsid w:val="006D2271"/>
    <w:rsid w:val="006E1BE8"/>
    <w:rsid w:val="006F0D57"/>
    <w:rsid w:val="006F5B08"/>
    <w:rsid w:val="007022F9"/>
    <w:rsid w:val="0071033A"/>
    <w:rsid w:val="007165FB"/>
    <w:rsid w:val="00733FE1"/>
    <w:rsid w:val="007414A9"/>
    <w:rsid w:val="00743980"/>
    <w:rsid w:val="00746F54"/>
    <w:rsid w:val="007549E0"/>
    <w:rsid w:val="00756285"/>
    <w:rsid w:val="00760791"/>
    <w:rsid w:val="00761B49"/>
    <w:rsid w:val="007647CF"/>
    <w:rsid w:val="00776DB8"/>
    <w:rsid w:val="00784A3A"/>
    <w:rsid w:val="007A415E"/>
    <w:rsid w:val="007A7529"/>
    <w:rsid w:val="007B1AA4"/>
    <w:rsid w:val="007B7EB2"/>
    <w:rsid w:val="007C0734"/>
    <w:rsid w:val="007C101F"/>
    <w:rsid w:val="007C4033"/>
    <w:rsid w:val="007D2D21"/>
    <w:rsid w:val="00817950"/>
    <w:rsid w:val="00825E5F"/>
    <w:rsid w:val="008261FF"/>
    <w:rsid w:val="00833A2A"/>
    <w:rsid w:val="0084493A"/>
    <w:rsid w:val="00846502"/>
    <w:rsid w:val="008513E9"/>
    <w:rsid w:val="00854BA0"/>
    <w:rsid w:val="0086469D"/>
    <w:rsid w:val="00865695"/>
    <w:rsid w:val="00871935"/>
    <w:rsid w:val="008733DB"/>
    <w:rsid w:val="008A6574"/>
    <w:rsid w:val="008A7C0C"/>
    <w:rsid w:val="008B16EF"/>
    <w:rsid w:val="008C2735"/>
    <w:rsid w:val="008E2A94"/>
    <w:rsid w:val="008E626F"/>
    <w:rsid w:val="008F53DF"/>
    <w:rsid w:val="0090067C"/>
    <w:rsid w:val="00901BDE"/>
    <w:rsid w:val="0092296C"/>
    <w:rsid w:val="00922D59"/>
    <w:rsid w:val="00924AB7"/>
    <w:rsid w:val="00925460"/>
    <w:rsid w:val="00927475"/>
    <w:rsid w:val="00937B8B"/>
    <w:rsid w:val="00944797"/>
    <w:rsid w:val="0095587C"/>
    <w:rsid w:val="00956216"/>
    <w:rsid w:val="00956B8B"/>
    <w:rsid w:val="009622B4"/>
    <w:rsid w:val="00965B96"/>
    <w:rsid w:val="009872B5"/>
    <w:rsid w:val="0099025D"/>
    <w:rsid w:val="00993F6F"/>
    <w:rsid w:val="009A22CB"/>
    <w:rsid w:val="009A6F9C"/>
    <w:rsid w:val="009A749B"/>
    <w:rsid w:val="009A7D01"/>
    <w:rsid w:val="009B570D"/>
    <w:rsid w:val="009B7570"/>
    <w:rsid w:val="009C12C6"/>
    <w:rsid w:val="009C15C5"/>
    <w:rsid w:val="009C5A62"/>
    <w:rsid w:val="009C6AAC"/>
    <w:rsid w:val="009D0C19"/>
    <w:rsid w:val="009D15B2"/>
    <w:rsid w:val="009D4006"/>
    <w:rsid w:val="009D4751"/>
    <w:rsid w:val="009D7AA2"/>
    <w:rsid w:val="009E5F08"/>
    <w:rsid w:val="00A07062"/>
    <w:rsid w:val="00A174A7"/>
    <w:rsid w:val="00A21DF7"/>
    <w:rsid w:val="00A23265"/>
    <w:rsid w:val="00A24472"/>
    <w:rsid w:val="00A30D75"/>
    <w:rsid w:val="00A52FDA"/>
    <w:rsid w:val="00A76764"/>
    <w:rsid w:val="00A80D22"/>
    <w:rsid w:val="00A83414"/>
    <w:rsid w:val="00AA5F93"/>
    <w:rsid w:val="00AC4973"/>
    <w:rsid w:val="00AD5231"/>
    <w:rsid w:val="00AD60E4"/>
    <w:rsid w:val="00AD68F5"/>
    <w:rsid w:val="00AE45A0"/>
    <w:rsid w:val="00AF2808"/>
    <w:rsid w:val="00AF365E"/>
    <w:rsid w:val="00AF783C"/>
    <w:rsid w:val="00B03287"/>
    <w:rsid w:val="00B034A1"/>
    <w:rsid w:val="00B05322"/>
    <w:rsid w:val="00B06791"/>
    <w:rsid w:val="00B13739"/>
    <w:rsid w:val="00B165FB"/>
    <w:rsid w:val="00B42834"/>
    <w:rsid w:val="00B47EB3"/>
    <w:rsid w:val="00B51A4C"/>
    <w:rsid w:val="00B607EA"/>
    <w:rsid w:val="00B659B8"/>
    <w:rsid w:val="00B73540"/>
    <w:rsid w:val="00B806C1"/>
    <w:rsid w:val="00B84123"/>
    <w:rsid w:val="00B913B0"/>
    <w:rsid w:val="00B97C31"/>
    <w:rsid w:val="00BA2C9E"/>
    <w:rsid w:val="00BB0E6B"/>
    <w:rsid w:val="00BB2050"/>
    <w:rsid w:val="00BC2844"/>
    <w:rsid w:val="00BC65D3"/>
    <w:rsid w:val="00BE3A1C"/>
    <w:rsid w:val="00BF57D4"/>
    <w:rsid w:val="00C226AA"/>
    <w:rsid w:val="00C22E58"/>
    <w:rsid w:val="00C27E36"/>
    <w:rsid w:val="00C32060"/>
    <w:rsid w:val="00C332F6"/>
    <w:rsid w:val="00C47832"/>
    <w:rsid w:val="00C52C69"/>
    <w:rsid w:val="00C56F34"/>
    <w:rsid w:val="00C71DC4"/>
    <w:rsid w:val="00C835FB"/>
    <w:rsid w:val="00C86B64"/>
    <w:rsid w:val="00C96A79"/>
    <w:rsid w:val="00CB1017"/>
    <w:rsid w:val="00CC53D0"/>
    <w:rsid w:val="00CC7B50"/>
    <w:rsid w:val="00CD78CD"/>
    <w:rsid w:val="00CF168B"/>
    <w:rsid w:val="00CF2906"/>
    <w:rsid w:val="00CF46BF"/>
    <w:rsid w:val="00D04FD4"/>
    <w:rsid w:val="00D10AB9"/>
    <w:rsid w:val="00D114F5"/>
    <w:rsid w:val="00D1272C"/>
    <w:rsid w:val="00D127B6"/>
    <w:rsid w:val="00D22C49"/>
    <w:rsid w:val="00D26C58"/>
    <w:rsid w:val="00D40410"/>
    <w:rsid w:val="00D42557"/>
    <w:rsid w:val="00D45F0E"/>
    <w:rsid w:val="00D57B91"/>
    <w:rsid w:val="00D66388"/>
    <w:rsid w:val="00D66C91"/>
    <w:rsid w:val="00D71469"/>
    <w:rsid w:val="00D7218B"/>
    <w:rsid w:val="00D73988"/>
    <w:rsid w:val="00D843B9"/>
    <w:rsid w:val="00D85514"/>
    <w:rsid w:val="00D919DC"/>
    <w:rsid w:val="00DA3FA7"/>
    <w:rsid w:val="00DA4B4C"/>
    <w:rsid w:val="00DA55B7"/>
    <w:rsid w:val="00DA60D0"/>
    <w:rsid w:val="00DB40E6"/>
    <w:rsid w:val="00DB7231"/>
    <w:rsid w:val="00DC6BA0"/>
    <w:rsid w:val="00DC77E1"/>
    <w:rsid w:val="00DD1620"/>
    <w:rsid w:val="00DD1FAC"/>
    <w:rsid w:val="00DD7275"/>
    <w:rsid w:val="00DE4AEC"/>
    <w:rsid w:val="00DE501B"/>
    <w:rsid w:val="00DE560F"/>
    <w:rsid w:val="00DE7EAE"/>
    <w:rsid w:val="00DF4140"/>
    <w:rsid w:val="00DF4463"/>
    <w:rsid w:val="00DF4808"/>
    <w:rsid w:val="00DF6ACB"/>
    <w:rsid w:val="00E01255"/>
    <w:rsid w:val="00E04043"/>
    <w:rsid w:val="00E06067"/>
    <w:rsid w:val="00E169B7"/>
    <w:rsid w:val="00E17EBA"/>
    <w:rsid w:val="00E231F1"/>
    <w:rsid w:val="00E32AD1"/>
    <w:rsid w:val="00E3567A"/>
    <w:rsid w:val="00E4124D"/>
    <w:rsid w:val="00E43A60"/>
    <w:rsid w:val="00E56581"/>
    <w:rsid w:val="00E728F4"/>
    <w:rsid w:val="00E7504A"/>
    <w:rsid w:val="00E765F8"/>
    <w:rsid w:val="00E76EE7"/>
    <w:rsid w:val="00E80076"/>
    <w:rsid w:val="00E806CD"/>
    <w:rsid w:val="00E919C6"/>
    <w:rsid w:val="00E9689C"/>
    <w:rsid w:val="00EC1498"/>
    <w:rsid w:val="00EC1E92"/>
    <w:rsid w:val="00EC5E67"/>
    <w:rsid w:val="00EE3080"/>
    <w:rsid w:val="00EE3100"/>
    <w:rsid w:val="00EE4E4F"/>
    <w:rsid w:val="00EE6716"/>
    <w:rsid w:val="00EF3E22"/>
    <w:rsid w:val="00F00823"/>
    <w:rsid w:val="00F043F7"/>
    <w:rsid w:val="00F065A6"/>
    <w:rsid w:val="00F0680F"/>
    <w:rsid w:val="00F12901"/>
    <w:rsid w:val="00F1307C"/>
    <w:rsid w:val="00F14A5B"/>
    <w:rsid w:val="00F162C7"/>
    <w:rsid w:val="00F21368"/>
    <w:rsid w:val="00F24448"/>
    <w:rsid w:val="00F36E5B"/>
    <w:rsid w:val="00F4117B"/>
    <w:rsid w:val="00F55029"/>
    <w:rsid w:val="00F66441"/>
    <w:rsid w:val="00F67131"/>
    <w:rsid w:val="00F67B00"/>
    <w:rsid w:val="00F77978"/>
    <w:rsid w:val="00F807A6"/>
    <w:rsid w:val="00F82362"/>
    <w:rsid w:val="00F8432A"/>
    <w:rsid w:val="00F91675"/>
    <w:rsid w:val="00FA7BD1"/>
    <w:rsid w:val="00FB7DA9"/>
    <w:rsid w:val="00FD1355"/>
    <w:rsid w:val="00FD2326"/>
    <w:rsid w:val="00FD4815"/>
    <w:rsid w:val="00FE07C9"/>
    <w:rsid w:val="00FE6214"/>
    <w:rsid w:val="00FF08DF"/>
    <w:rsid w:val="00FF22A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5A6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C5A6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5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78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26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3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01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ull@scullcommunica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ltralinkproduct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cullcommunications.com/pressresour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2330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leahy</dc:creator>
  <cp:keywords/>
  <dc:description/>
  <cp:lastModifiedBy> Jonathan Scull</cp:lastModifiedBy>
  <cp:revision>2</cp:revision>
  <cp:lastPrinted>2010-07-15T20:46:00Z</cp:lastPrinted>
  <dcterms:created xsi:type="dcterms:W3CDTF">2010-11-18T19:10:00Z</dcterms:created>
  <dcterms:modified xsi:type="dcterms:W3CDTF">2010-11-18T19:10:00Z</dcterms:modified>
</cp:coreProperties>
</file>